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7E5D2">
      <w:pPr>
        <w:keepNext/>
        <w:keepLines w:val="0"/>
        <w:pageBreakBefore w:val="0"/>
        <w:widowControl w:val="0"/>
        <w:kinsoku/>
        <w:wordWrap w:val="0"/>
        <w:overflowPunct/>
        <w:topLinePunct w:val="0"/>
        <w:autoSpaceDE/>
        <w:autoSpaceDN/>
        <w:bidi w:val="0"/>
        <w:snapToGrid w:val="0"/>
        <w:spacing w:line="540" w:lineRule="exact"/>
        <w:jc w:val="center"/>
        <w:textAlignment w:val="auto"/>
        <w:rPr>
          <w:rFonts w:hint="eastAsia" w:ascii="方正小标宋_GBK" w:hAnsi="方正小标宋_GBK" w:eastAsia="方正小标宋_GBK" w:cs="方正小标宋_GBK"/>
          <w:b/>
          <w:bCs/>
          <w:sz w:val="36"/>
          <w:szCs w:val="36"/>
          <w:highlight w:val="none"/>
          <w:lang w:val="en-US" w:eastAsia="zh-CN"/>
        </w:rPr>
      </w:pPr>
      <w:r>
        <w:rPr>
          <w:rFonts w:hint="eastAsia" w:ascii="方正小标宋_GBK" w:hAnsi="方正小标宋_GBK" w:eastAsia="方正小标宋_GBK" w:cs="方正小标宋_GBK"/>
          <w:b/>
          <w:bCs/>
          <w:sz w:val="36"/>
          <w:szCs w:val="36"/>
          <w:highlight w:val="none"/>
          <w:lang w:val="en-US" w:eastAsia="zh-CN"/>
        </w:rPr>
        <w:t xml:space="preserve">2026年河北省职业院校技能大赛 </w:t>
      </w:r>
    </w:p>
    <w:p w14:paraId="0133A57D">
      <w:pPr>
        <w:keepNext/>
        <w:keepLines w:val="0"/>
        <w:pageBreakBefore w:val="0"/>
        <w:widowControl w:val="0"/>
        <w:kinsoku/>
        <w:wordWrap w:val="0"/>
        <w:overflowPunct/>
        <w:topLinePunct w:val="0"/>
        <w:autoSpaceDE/>
        <w:autoSpaceDN/>
        <w:bidi w:val="0"/>
        <w:snapToGrid w:val="0"/>
        <w:spacing w:line="540" w:lineRule="exact"/>
        <w:jc w:val="center"/>
        <w:textAlignment w:val="auto"/>
        <w:rPr>
          <w:rFonts w:hint="eastAsia" w:ascii="方正小标宋_GBK" w:hAnsi="方正小标宋_GBK" w:eastAsia="方正小标宋_GBK" w:cs="方正小标宋_GBK"/>
          <w:b/>
          <w:bCs/>
          <w:sz w:val="36"/>
          <w:szCs w:val="36"/>
          <w:highlight w:val="yellow"/>
          <w:lang w:val="ru-RU"/>
        </w:rPr>
      </w:pPr>
      <w:r>
        <w:rPr>
          <w:rFonts w:hint="eastAsia" w:ascii="方正小标宋_GBK" w:hAnsi="方正小标宋_GBK" w:eastAsia="方正小标宋_GBK" w:cs="方正小标宋_GBK"/>
          <w:b/>
          <w:bCs/>
          <w:sz w:val="36"/>
          <w:szCs w:val="36"/>
          <w:highlight w:val="none"/>
          <w:lang w:val="en-US" w:eastAsia="zh-CN"/>
        </w:rPr>
        <w:t>人工智能赛道国赛选拔赛赛项规程</w:t>
      </w:r>
    </w:p>
    <w:p w14:paraId="2789E26F">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赛项名称</w:t>
      </w:r>
    </w:p>
    <w:p w14:paraId="08A9BC9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rPr>
        <w:t>赛</w:t>
      </w:r>
      <w:r>
        <w:rPr>
          <w:rFonts w:hint="eastAsia" w:ascii="Times New Roman" w:hAnsi="Times New Roman" w:eastAsia="仿宋" w:cs="Times New Roman"/>
          <w:color w:val="auto"/>
          <w:sz w:val="28"/>
          <w:szCs w:val="24"/>
          <w:highlight w:val="none"/>
          <w:lang w:val="en-US" w:eastAsia="zh-CN"/>
        </w:rPr>
        <w:t>道</w:t>
      </w:r>
      <w:r>
        <w:rPr>
          <w:rFonts w:hint="eastAsia" w:ascii="Times New Roman" w:hAnsi="Times New Roman" w:eastAsia="仿宋" w:cs="Times New Roman"/>
          <w:color w:val="auto"/>
          <w:sz w:val="28"/>
          <w:szCs w:val="24"/>
          <w:highlight w:val="none"/>
        </w:rPr>
        <w:t>名称：</w:t>
      </w:r>
      <w:r>
        <w:rPr>
          <w:rFonts w:hint="eastAsia" w:ascii="Times New Roman" w:hAnsi="Times New Roman" w:eastAsia="仿宋" w:cs="Times New Roman"/>
          <w:color w:val="auto"/>
          <w:sz w:val="28"/>
          <w:szCs w:val="24"/>
          <w:highlight w:val="none"/>
          <w:lang w:val="en-US" w:eastAsia="zh-CN"/>
        </w:rPr>
        <w:t>人工智能</w:t>
      </w:r>
      <w:r>
        <w:rPr>
          <w:rFonts w:hint="eastAsia" w:ascii="Times New Roman" w:hAnsi="Times New Roman" w:eastAsia="仿宋" w:cs="Times New Roman"/>
          <w:color w:val="auto"/>
          <w:sz w:val="28"/>
          <w:szCs w:val="24"/>
          <w:highlight w:val="none"/>
        </w:rPr>
        <w:t>赛道</w:t>
      </w:r>
    </w:p>
    <w:p w14:paraId="5ED205D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rPr>
        <w:t>赛项组别：高</w:t>
      </w:r>
      <w:r>
        <w:rPr>
          <w:rFonts w:hint="eastAsia" w:eastAsia="仿宋" w:cs="Times New Roman"/>
          <w:color w:val="auto"/>
          <w:sz w:val="28"/>
          <w:szCs w:val="24"/>
          <w:highlight w:val="none"/>
          <w:lang w:val="en-US" w:eastAsia="zh-CN"/>
        </w:rPr>
        <w:t>校</w:t>
      </w:r>
      <w:r>
        <w:rPr>
          <w:rFonts w:hint="eastAsia" w:ascii="Times New Roman" w:hAnsi="Times New Roman" w:eastAsia="仿宋" w:cs="Times New Roman"/>
          <w:color w:val="auto"/>
          <w:sz w:val="28"/>
          <w:szCs w:val="24"/>
          <w:highlight w:val="none"/>
        </w:rPr>
        <w:t>组</w:t>
      </w:r>
    </w:p>
    <w:p w14:paraId="415168F8">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bookmarkStart w:id="0" w:name="_Toc23779"/>
      <w:r>
        <w:rPr>
          <w:rFonts w:hint="default" w:asciiTheme="minorEastAsia" w:hAnsiTheme="minorEastAsia" w:eastAsiaTheme="minorEastAsia" w:cstheme="minorEastAsia"/>
          <w:b/>
          <w:bCs/>
          <w:sz w:val="30"/>
          <w:szCs w:val="30"/>
          <w:highlight w:val="none"/>
        </w:rPr>
        <w:t>比赛时间</w:t>
      </w:r>
      <w:bookmarkEnd w:id="0"/>
    </w:p>
    <w:p w14:paraId="58F9CC4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202</w:t>
      </w:r>
      <w:r>
        <w:rPr>
          <w:rFonts w:hint="eastAsia" w:eastAsia="仿宋" w:cs="Times New Roman"/>
          <w:color w:val="auto"/>
          <w:sz w:val="28"/>
          <w:szCs w:val="24"/>
          <w:highlight w:val="none"/>
          <w:lang w:val="en-US" w:eastAsia="zh-CN"/>
        </w:rPr>
        <w:t>6</w:t>
      </w:r>
      <w:r>
        <w:rPr>
          <w:rFonts w:hint="default" w:ascii="Times New Roman" w:hAnsi="Times New Roman" w:eastAsia="仿宋" w:cs="Times New Roman"/>
          <w:color w:val="auto"/>
          <w:sz w:val="28"/>
          <w:szCs w:val="24"/>
          <w:highlight w:val="none"/>
          <w:lang w:val="en-US" w:eastAsia="zh-CN"/>
        </w:rPr>
        <w:t>年</w:t>
      </w:r>
      <w:r>
        <w:rPr>
          <w:rFonts w:hint="eastAsia" w:ascii="Times New Roman" w:hAnsi="Times New Roman" w:eastAsia="仿宋" w:cs="Times New Roman"/>
          <w:color w:val="auto"/>
          <w:sz w:val="28"/>
          <w:szCs w:val="24"/>
          <w:highlight w:val="none"/>
          <w:lang w:val="en-US" w:eastAsia="zh-CN"/>
        </w:rPr>
        <w:t>0</w:t>
      </w:r>
      <w:r>
        <w:rPr>
          <w:rFonts w:hint="eastAsia" w:eastAsia="仿宋" w:cs="Times New Roman"/>
          <w:color w:val="auto"/>
          <w:sz w:val="28"/>
          <w:szCs w:val="24"/>
          <w:highlight w:val="none"/>
          <w:lang w:val="en-US" w:eastAsia="zh-CN"/>
        </w:rPr>
        <w:t>8</w:t>
      </w:r>
      <w:r>
        <w:rPr>
          <w:rFonts w:hint="default" w:ascii="Times New Roman" w:hAnsi="Times New Roman" w:eastAsia="仿宋" w:cs="Times New Roman"/>
          <w:color w:val="auto"/>
          <w:sz w:val="28"/>
          <w:szCs w:val="24"/>
          <w:highlight w:val="none"/>
          <w:lang w:val="en-US" w:eastAsia="zh-CN"/>
        </w:rPr>
        <w:t>月</w:t>
      </w:r>
      <w:r>
        <w:rPr>
          <w:rFonts w:hint="eastAsia" w:eastAsia="仿宋" w:cs="Times New Roman"/>
          <w:color w:val="auto"/>
          <w:sz w:val="28"/>
          <w:szCs w:val="24"/>
          <w:highlight w:val="none"/>
          <w:lang w:val="en-US" w:eastAsia="zh-CN"/>
        </w:rPr>
        <w:t>25</w:t>
      </w:r>
      <w:r>
        <w:rPr>
          <w:rFonts w:hint="default" w:ascii="Times New Roman" w:hAnsi="Times New Roman" w:eastAsia="仿宋" w:cs="Times New Roman"/>
          <w:color w:val="auto"/>
          <w:sz w:val="28"/>
          <w:szCs w:val="24"/>
          <w:highlight w:val="none"/>
          <w:lang w:val="en-US" w:eastAsia="zh-CN"/>
        </w:rPr>
        <w:t>日</w:t>
      </w:r>
      <w:bookmarkStart w:id="1" w:name="_Toc4457"/>
    </w:p>
    <w:p w14:paraId="685136E2">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r>
        <w:rPr>
          <w:rFonts w:hint="default" w:asciiTheme="minorEastAsia" w:hAnsiTheme="minorEastAsia" w:eastAsiaTheme="minorEastAsia" w:cstheme="minorEastAsia"/>
          <w:b/>
          <w:bCs/>
          <w:sz w:val="30"/>
          <w:szCs w:val="30"/>
          <w:highlight w:val="none"/>
        </w:rPr>
        <w:t>比赛地点</w:t>
      </w:r>
      <w:bookmarkEnd w:id="1"/>
    </w:p>
    <w:p w14:paraId="467DE2A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河北</w:t>
      </w:r>
      <w:r>
        <w:rPr>
          <w:rFonts w:hint="eastAsia" w:eastAsia="仿宋" w:cs="Times New Roman"/>
          <w:color w:val="auto"/>
          <w:sz w:val="28"/>
          <w:szCs w:val="24"/>
          <w:highlight w:val="none"/>
          <w:lang w:val="en-US" w:eastAsia="zh-CN"/>
        </w:rPr>
        <w:t>石油职业技术大学</w:t>
      </w:r>
    </w:p>
    <w:p w14:paraId="26ABD9FD">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bookmarkStart w:id="2" w:name="_Toc4200"/>
      <w:r>
        <w:rPr>
          <w:rFonts w:hint="default" w:asciiTheme="minorEastAsia" w:hAnsiTheme="minorEastAsia" w:eastAsiaTheme="minorEastAsia" w:cstheme="minorEastAsia"/>
          <w:b/>
          <w:bCs/>
          <w:sz w:val="30"/>
          <w:szCs w:val="30"/>
          <w:highlight w:val="none"/>
        </w:rPr>
        <w:t>比赛时长</w:t>
      </w:r>
      <w:bookmarkEnd w:id="2"/>
    </w:p>
    <w:p w14:paraId="6CAFC90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为了确保参赛队伍能够充分准备，所有队伍提前</w:t>
      </w:r>
      <w:r>
        <w:rPr>
          <w:rFonts w:hint="eastAsia" w:eastAsia="仿宋" w:cs="Times New Roman"/>
          <w:color w:val="auto"/>
          <w:sz w:val="28"/>
          <w:szCs w:val="24"/>
          <w:highlight w:val="none"/>
          <w:lang w:val="en-US" w:eastAsia="zh-CN"/>
        </w:rPr>
        <w:t>一个</w:t>
      </w:r>
      <w:r>
        <w:rPr>
          <w:rFonts w:hint="default" w:ascii="Times New Roman" w:hAnsi="Times New Roman" w:eastAsia="仿宋" w:cs="Times New Roman"/>
          <w:color w:val="auto"/>
          <w:sz w:val="28"/>
          <w:szCs w:val="24"/>
          <w:highlight w:val="none"/>
          <w:lang w:val="en-US" w:eastAsia="zh-CN"/>
        </w:rPr>
        <w:t>小时进入赛场进行准备工作用来搭建比赛环境、调整设备和进行战术讨论。</w:t>
      </w:r>
    </w:p>
    <w:p w14:paraId="069AF9D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比赛时长可由各参赛队伍根据项目实际需要确定，总时长不超过1小时。参赛队根据工作任务，按团队成员分工使用相应设备完成各项技能操作，同时进行现场讲解。技能操作重点展示专业技能熟练程度、规范程度、解决复杂问题的综合能力以及解决技术难题的创新能力，现场讲解主要介绍总体思路、技能要点、主要成果、项目创新等。</w:t>
      </w:r>
    </w:p>
    <w:p w14:paraId="2EC003FA">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jc w:val="both"/>
        <w:textAlignment w:val="auto"/>
        <w:outlineLvl w:val="0"/>
        <w:rPr>
          <w:rFonts w:hint="default" w:asciiTheme="minorEastAsia" w:hAnsiTheme="minorEastAsia" w:eastAsiaTheme="minorEastAsia" w:cstheme="minorEastAsia"/>
          <w:b/>
          <w:bCs/>
          <w:sz w:val="30"/>
          <w:szCs w:val="30"/>
          <w:highlight w:val="none"/>
        </w:rPr>
      </w:pPr>
      <w:bookmarkStart w:id="3" w:name="_Toc28842"/>
      <w:r>
        <w:rPr>
          <w:rFonts w:hint="default" w:asciiTheme="minorEastAsia" w:hAnsiTheme="minorEastAsia" w:eastAsiaTheme="minorEastAsia" w:cstheme="minorEastAsia"/>
          <w:b/>
          <w:bCs/>
          <w:sz w:val="30"/>
          <w:szCs w:val="30"/>
          <w:highlight w:val="none"/>
        </w:rPr>
        <w:t>比赛方式</w:t>
      </w:r>
      <w:bookmarkEnd w:id="3"/>
    </w:p>
    <w:p w14:paraId="620CC00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竞赛以团体赛方式进行，以院校为单位参赛，比赛为团体赛，每支参赛队伍不超过4人，参赛队伍以学校为单位组队，不得跨校组队，每队限报2名指导教师，竞赛期间不允许指导教师进入赛场进行现场指导。指导教师负责参赛选手的报名、训练指导、服务和比赛期间参赛选手的日常管理。</w:t>
      </w:r>
    </w:p>
    <w:p w14:paraId="41B2E95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rPr>
      </w:pPr>
      <w:r>
        <w:rPr>
          <w:rFonts w:hint="default" w:ascii="Times New Roman" w:hAnsi="Times New Roman" w:eastAsia="仿宋" w:cs="Times New Roman"/>
          <w:color w:val="auto"/>
          <w:sz w:val="28"/>
          <w:szCs w:val="24"/>
          <w:highlight w:val="none"/>
        </w:rPr>
        <w:t>由省级教育行政部门遴选确定参加选拔赛的高职组参赛队伍，各参赛队伍通过报名邮箱完成报名（具体时间以报名通知为准）。</w:t>
      </w:r>
    </w:p>
    <w:p w14:paraId="5AC959AC">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竞赛流程</w:t>
      </w:r>
    </w:p>
    <w:p w14:paraId="77C3D92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（一）竞赛时间安排</w:t>
      </w:r>
    </w:p>
    <w:tbl>
      <w:tblPr>
        <w:tblStyle w:val="14"/>
        <w:tblW w:w="8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701"/>
        <w:gridCol w:w="5549"/>
      </w:tblGrid>
      <w:tr w14:paraId="69E3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18" w:type="dxa"/>
            <w:shd w:val="clear" w:color="auto" w:fill="auto"/>
            <w:vAlign w:val="center"/>
          </w:tcPr>
          <w:p w14:paraId="24B0AA97">
            <w:pPr>
              <w:pStyle w:val="26"/>
              <w:ind w:firstLine="0" w:firstLineChars="0"/>
              <w:jc w:val="center"/>
              <w:rPr>
                <w:rFonts w:ascii="仿宋_GB2312" w:hAnsi="宋体" w:eastAsia="仿宋_GB2312"/>
                <w:b/>
                <w:sz w:val="24"/>
                <w:szCs w:val="24"/>
                <w:highlight w:val="none"/>
              </w:rPr>
            </w:pPr>
            <w:r>
              <w:rPr>
                <w:rFonts w:hint="eastAsia" w:ascii="仿宋_GB2312" w:hAnsi="宋体" w:eastAsia="仿宋_GB2312"/>
                <w:b/>
                <w:sz w:val="24"/>
                <w:szCs w:val="24"/>
                <w:highlight w:val="none"/>
              </w:rPr>
              <w:t>日期</w:t>
            </w:r>
          </w:p>
        </w:tc>
        <w:tc>
          <w:tcPr>
            <w:tcW w:w="1701" w:type="dxa"/>
            <w:shd w:val="clear" w:color="auto" w:fill="auto"/>
            <w:vAlign w:val="center"/>
          </w:tcPr>
          <w:p w14:paraId="461A3AA9">
            <w:pPr>
              <w:pStyle w:val="26"/>
              <w:ind w:firstLine="0" w:firstLineChars="0"/>
              <w:jc w:val="center"/>
              <w:rPr>
                <w:rFonts w:ascii="仿宋_GB2312" w:hAnsi="宋体" w:eastAsia="仿宋_GB2312"/>
                <w:b/>
                <w:sz w:val="24"/>
                <w:szCs w:val="24"/>
                <w:highlight w:val="none"/>
              </w:rPr>
            </w:pPr>
            <w:r>
              <w:rPr>
                <w:rFonts w:hint="eastAsia" w:ascii="仿宋_GB2312" w:hAnsi="宋体" w:eastAsia="仿宋_GB2312"/>
                <w:b/>
                <w:sz w:val="24"/>
                <w:szCs w:val="24"/>
                <w:highlight w:val="none"/>
              </w:rPr>
              <w:t>时间</w:t>
            </w:r>
          </w:p>
        </w:tc>
        <w:tc>
          <w:tcPr>
            <w:tcW w:w="5549" w:type="dxa"/>
            <w:shd w:val="clear" w:color="auto" w:fill="auto"/>
            <w:vAlign w:val="center"/>
          </w:tcPr>
          <w:p w14:paraId="1DADA634">
            <w:pPr>
              <w:pStyle w:val="26"/>
              <w:ind w:firstLine="0" w:firstLineChars="0"/>
              <w:jc w:val="center"/>
              <w:rPr>
                <w:rFonts w:ascii="仿宋_GB2312" w:hAnsi="宋体" w:eastAsia="仿宋_GB2312"/>
                <w:b/>
                <w:sz w:val="24"/>
                <w:szCs w:val="24"/>
                <w:highlight w:val="none"/>
              </w:rPr>
            </w:pPr>
            <w:r>
              <w:rPr>
                <w:rFonts w:hint="eastAsia" w:ascii="仿宋_GB2312" w:hAnsi="宋体" w:eastAsia="仿宋_GB2312"/>
                <w:b/>
                <w:sz w:val="24"/>
                <w:szCs w:val="24"/>
                <w:highlight w:val="none"/>
              </w:rPr>
              <w:t>内容</w:t>
            </w:r>
          </w:p>
        </w:tc>
      </w:tr>
      <w:tr w14:paraId="7F0FC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restart"/>
            <w:shd w:val="clear" w:color="auto" w:fill="auto"/>
            <w:vAlign w:val="center"/>
          </w:tcPr>
          <w:p w14:paraId="5B3F196A">
            <w:pPr>
              <w:widowControl w:val="0"/>
              <w:jc w:val="center"/>
              <w:rPr>
                <w:rFonts w:hint="default" w:ascii="仿宋_GB2312" w:hAnsi="宋体" w:eastAsia="仿宋_GB2312" w:cs="Calibri"/>
                <w:highlight w:val="none"/>
                <w:lang w:val="en-US" w:eastAsia="zh-CN"/>
              </w:rPr>
            </w:pPr>
            <w:r>
              <w:rPr>
                <w:rFonts w:hint="eastAsia" w:ascii="仿宋_GB2312" w:hAnsi="宋体" w:eastAsia="仿宋_GB2312" w:cs="宋体"/>
                <w:highlight w:val="none"/>
                <w:lang w:val="en-US" w:eastAsia="zh-CN"/>
              </w:rPr>
              <w:t>比赛前一日</w:t>
            </w:r>
          </w:p>
        </w:tc>
        <w:tc>
          <w:tcPr>
            <w:tcW w:w="1701" w:type="dxa"/>
            <w:shd w:val="clear" w:color="auto" w:fill="auto"/>
            <w:vAlign w:val="center"/>
          </w:tcPr>
          <w:p w14:paraId="4F513A26">
            <w:pPr>
              <w:widowControl w:val="0"/>
              <w:jc w:val="center"/>
              <w:rPr>
                <w:rFonts w:ascii="仿宋_GB2312" w:hAnsi="宋体" w:eastAsia="仿宋_GB2312" w:cs="Calibri"/>
                <w:highlight w:val="none"/>
              </w:rPr>
            </w:pPr>
            <w:r>
              <w:rPr>
                <w:rFonts w:hint="eastAsia" w:ascii="仿宋_GB2312" w:hAnsi="宋体" w:eastAsia="仿宋_GB2312" w:cs="Calibri"/>
                <w:highlight w:val="none"/>
                <w:lang w:val="en-US" w:eastAsia="zh-CN"/>
              </w:rPr>
              <w:t>08</w:t>
            </w:r>
            <w:r>
              <w:rPr>
                <w:rFonts w:hint="eastAsia" w:ascii="仿宋_GB2312" w:hAnsi="宋体" w:eastAsia="仿宋_GB2312" w:cs="Calibri"/>
                <w:highlight w:val="none"/>
              </w:rPr>
              <w:t>:00-1</w:t>
            </w:r>
            <w:r>
              <w:rPr>
                <w:rFonts w:hint="eastAsia" w:ascii="仿宋_GB2312" w:hAnsi="宋体" w:eastAsia="仿宋_GB2312" w:cs="Calibri"/>
                <w:highlight w:val="none"/>
                <w:lang w:val="en-US" w:eastAsia="zh-CN"/>
              </w:rPr>
              <w:t>4</w:t>
            </w:r>
            <w:r>
              <w:rPr>
                <w:rFonts w:hint="eastAsia" w:ascii="仿宋_GB2312" w:hAnsi="宋体" w:eastAsia="仿宋_GB2312" w:cs="Calibri"/>
                <w:highlight w:val="none"/>
              </w:rPr>
              <w:t>:00</w:t>
            </w:r>
          </w:p>
        </w:tc>
        <w:tc>
          <w:tcPr>
            <w:tcW w:w="5549" w:type="dxa"/>
            <w:shd w:val="clear" w:color="auto" w:fill="auto"/>
            <w:vAlign w:val="center"/>
          </w:tcPr>
          <w:p w14:paraId="429D64C3">
            <w:pPr>
              <w:widowControl w:val="0"/>
              <w:rPr>
                <w:rFonts w:ascii="仿宋_GB2312" w:hAnsi="宋体" w:eastAsia="仿宋_GB2312" w:cs="Calibri"/>
                <w:highlight w:val="none"/>
              </w:rPr>
            </w:pPr>
            <w:r>
              <w:rPr>
                <w:rFonts w:hint="eastAsia" w:ascii="仿宋_GB2312" w:hAnsi="宋体" w:eastAsia="仿宋_GB2312" w:cs="Calibri"/>
                <w:highlight w:val="none"/>
              </w:rPr>
              <w:t>各参赛队报到</w:t>
            </w:r>
          </w:p>
        </w:tc>
      </w:tr>
      <w:tr w14:paraId="61F6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continue"/>
            <w:shd w:val="clear" w:color="auto" w:fill="auto"/>
            <w:vAlign w:val="center"/>
          </w:tcPr>
          <w:p w14:paraId="0F1B8BE9">
            <w:pPr>
              <w:widowControl w:val="0"/>
              <w:jc w:val="center"/>
              <w:rPr>
                <w:rFonts w:ascii="仿宋_GB2312" w:hAnsi="宋体" w:eastAsia="仿宋_GB2312" w:cs="Calibri"/>
                <w:highlight w:val="none"/>
              </w:rPr>
            </w:pPr>
          </w:p>
        </w:tc>
        <w:tc>
          <w:tcPr>
            <w:tcW w:w="1701" w:type="dxa"/>
            <w:shd w:val="clear" w:color="auto" w:fill="auto"/>
            <w:vAlign w:val="center"/>
          </w:tcPr>
          <w:p w14:paraId="1F28748A">
            <w:pPr>
              <w:widowControl w:val="0"/>
              <w:jc w:val="center"/>
              <w:rPr>
                <w:rFonts w:ascii="仿宋_GB2312" w:hAnsi="宋体" w:eastAsia="仿宋_GB2312" w:cs="Calibri"/>
                <w:highlight w:val="none"/>
              </w:rPr>
            </w:pPr>
            <w:r>
              <w:rPr>
                <w:rFonts w:hint="eastAsia" w:ascii="仿宋_GB2312" w:hAnsi="宋体" w:eastAsia="仿宋_GB2312" w:cs="Calibri"/>
                <w:highlight w:val="none"/>
              </w:rPr>
              <w:t>15:00-16:00</w:t>
            </w:r>
          </w:p>
        </w:tc>
        <w:tc>
          <w:tcPr>
            <w:tcW w:w="5549" w:type="dxa"/>
            <w:shd w:val="clear" w:color="auto" w:fill="auto"/>
            <w:vAlign w:val="center"/>
          </w:tcPr>
          <w:p w14:paraId="719640E1">
            <w:pPr>
              <w:widowControl w:val="0"/>
              <w:rPr>
                <w:rFonts w:hint="eastAsia" w:ascii="仿宋_GB2312" w:hAnsi="宋体" w:eastAsia="仿宋_GB2312" w:cs="Calibri"/>
                <w:highlight w:val="none"/>
                <w:lang w:val="en-US" w:eastAsia="zh-CN"/>
              </w:rPr>
            </w:pPr>
            <w:r>
              <w:rPr>
                <w:rFonts w:hint="eastAsia" w:ascii="仿宋_GB2312" w:hAnsi="宋体" w:eastAsia="仿宋_GB2312" w:cs="Calibri"/>
                <w:highlight w:val="none"/>
              </w:rPr>
              <w:t>领队会、赛前说明</w:t>
            </w:r>
            <w:r>
              <w:rPr>
                <w:rFonts w:hint="eastAsia" w:ascii="仿宋_GB2312" w:hAnsi="宋体" w:eastAsia="仿宋_GB2312" w:cs="Calibri"/>
                <w:highlight w:val="none"/>
                <w:lang w:val="en-US" w:eastAsia="zh-CN"/>
              </w:rPr>
              <w:t>会</w:t>
            </w:r>
          </w:p>
        </w:tc>
      </w:tr>
      <w:tr w14:paraId="3E8E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continue"/>
            <w:shd w:val="clear" w:color="auto" w:fill="auto"/>
            <w:vAlign w:val="center"/>
          </w:tcPr>
          <w:p w14:paraId="4C7B3B81">
            <w:pPr>
              <w:widowControl w:val="0"/>
              <w:jc w:val="center"/>
              <w:rPr>
                <w:rFonts w:ascii="仿宋_GB2312" w:hAnsi="宋体" w:eastAsia="仿宋_GB2312" w:cs="Calibri"/>
                <w:highlight w:val="none"/>
              </w:rPr>
            </w:pPr>
          </w:p>
        </w:tc>
        <w:tc>
          <w:tcPr>
            <w:tcW w:w="1701" w:type="dxa"/>
            <w:shd w:val="clear" w:color="auto" w:fill="auto"/>
            <w:vAlign w:val="center"/>
          </w:tcPr>
          <w:p w14:paraId="2791057D">
            <w:pPr>
              <w:widowControl w:val="0"/>
              <w:jc w:val="center"/>
              <w:rPr>
                <w:rFonts w:ascii="仿宋_GB2312" w:hAnsi="宋体" w:eastAsia="仿宋_GB2312" w:cs="Calibri"/>
                <w:highlight w:val="none"/>
              </w:rPr>
            </w:pPr>
            <w:r>
              <w:rPr>
                <w:rFonts w:hint="eastAsia" w:ascii="仿宋_GB2312" w:hAnsi="宋体" w:eastAsia="仿宋_GB2312" w:cs="Calibri"/>
                <w:highlight w:val="none"/>
              </w:rPr>
              <w:t>16:00-16:30</w:t>
            </w:r>
          </w:p>
        </w:tc>
        <w:tc>
          <w:tcPr>
            <w:tcW w:w="5549" w:type="dxa"/>
            <w:shd w:val="clear" w:color="auto" w:fill="auto"/>
            <w:vAlign w:val="center"/>
          </w:tcPr>
          <w:p w14:paraId="680A9799">
            <w:pPr>
              <w:widowControl w:val="0"/>
              <w:rPr>
                <w:rFonts w:ascii="仿宋_GB2312" w:hAnsi="宋体" w:eastAsia="仿宋_GB2312" w:cs="Calibri"/>
                <w:highlight w:val="none"/>
              </w:rPr>
            </w:pPr>
            <w:r>
              <w:rPr>
                <w:rFonts w:hint="eastAsia" w:ascii="仿宋_GB2312" w:hAnsi="宋体" w:eastAsia="仿宋_GB2312" w:cs="Calibri"/>
                <w:highlight w:val="none"/>
              </w:rPr>
              <w:t>选手熟悉赛场</w:t>
            </w:r>
          </w:p>
        </w:tc>
      </w:tr>
      <w:tr w14:paraId="29C6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restart"/>
            <w:shd w:val="clear" w:color="auto" w:fill="auto"/>
            <w:vAlign w:val="center"/>
          </w:tcPr>
          <w:p w14:paraId="54B15CB4">
            <w:pPr>
              <w:widowControl w:val="0"/>
              <w:jc w:val="center"/>
              <w:rPr>
                <w:rFonts w:hint="default" w:ascii="仿宋_GB2312" w:hAnsi="宋体" w:eastAsia="仿宋_GB2312" w:cs="Calibri"/>
                <w:highlight w:val="none"/>
                <w:lang w:val="en-US" w:eastAsia="zh-CN"/>
              </w:rPr>
            </w:pPr>
            <w:r>
              <w:rPr>
                <w:rFonts w:hint="eastAsia" w:ascii="仿宋_GB2312" w:hAnsi="宋体" w:eastAsia="仿宋_GB2312" w:cs="宋体"/>
                <w:highlight w:val="none"/>
                <w:lang w:val="en-US" w:eastAsia="zh-CN"/>
              </w:rPr>
              <w:t>比赛当日</w:t>
            </w:r>
          </w:p>
        </w:tc>
        <w:tc>
          <w:tcPr>
            <w:tcW w:w="1701" w:type="dxa"/>
            <w:shd w:val="clear" w:color="auto" w:fill="auto"/>
            <w:vAlign w:val="center"/>
          </w:tcPr>
          <w:p w14:paraId="65F42E8D">
            <w:pPr>
              <w:widowControl w:val="0"/>
              <w:jc w:val="center"/>
              <w:rPr>
                <w:rFonts w:ascii="仿宋_GB2312" w:hAnsi="宋体" w:eastAsia="仿宋_GB2312" w:cs="Calibri"/>
                <w:highlight w:val="none"/>
              </w:rPr>
            </w:pPr>
            <w:r>
              <w:rPr>
                <w:rFonts w:hint="eastAsia" w:ascii="仿宋_GB2312" w:hAnsi="宋体" w:eastAsia="仿宋_GB2312" w:cs="Calibri"/>
                <w:highlight w:val="none"/>
                <w:lang w:val="en-US" w:eastAsia="zh-CN"/>
              </w:rPr>
              <w:t>07</w:t>
            </w:r>
            <w:r>
              <w:rPr>
                <w:rFonts w:hint="eastAsia" w:ascii="仿宋_GB2312" w:hAnsi="宋体" w:eastAsia="仿宋_GB2312" w:cs="Calibri"/>
                <w:highlight w:val="none"/>
              </w:rPr>
              <w:t>:</w:t>
            </w:r>
            <w:r>
              <w:rPr>
                <w:rFonts w:hint="eastAsia" w:ascii="仿宋_GB2312" w:hAnsi="宋体" w:eastAsia="仿宋_GB2312" w:cs="Calibri"/>
                <w:highlight w:val="none"/>
                <w:lang w:val="en-US" w:eastAsia="zh-CN"/>
              </w:rPr>
              <w:t>0</w:t>
            </w:r>
            <w:r>
              <w:rPr>
                <w:rFonts w:hint="eastAsia" w:ascii="仿宋_GB2312" w:hAnsi="宋体" w:eastAsia="仿宋_GB2312" w:cs="Calibri"/>
                <w:highlight w:val="none"/>
              </w:rPr>
              <w:t>0-</w:t>
            </w:r>
            <w:r>
              <w:rPr>
                <w:rFonts w:hint="eastAsia" w:ascii="仿宋_GB2312" w:hAnsi="宋体" w:eastAsia="仿宋_GB2312" w:cs="Calibri"/>
                <w:highlight w:val="none"/>
                <w:lang w:val="en-US" w:eastAsia="zh-CN"/>
              </w:rPr>
              <w:t>1</w:t>
            </w:r>
            <w:r>
              <w:rPr>
                <w:rFonts w:hint="eastAsia" w:ascii="仿宋_GB2312" w:hAnsi="宋体" w:eastAsia="仿宋_GB2312" w:cs="Calibri"/>
                <w:highlight w:val="none"/>
              </w:rPr>
              <w:t>9:00</w:t>
            </w:r>
          </w:p>
        </w:tc>
        <w:tc>
          <w:tcPr>
            <w:tcW w:w="5549" w:type="dxa"/>
            <w:shd w:val="clear" w:color="auto" w:fill="auto"/>
            <w:vAlign w:val="center"/>
          </w:tcPr>
          <w:p w14:paraId="486C6684">
            <w:pPr>
              <w:widowControl w:val="0"/>
              <w:rPr>
                <w:rFonts w:ascii="仿宋_GB2312" w:hAnsi="宋体" w:eastAsia="仿宋_GB2312" w:cs="Calibri"/>
                <w:highlight w:val="none"/>
              </w:rPr>
            </w:pPr>
            <w:r>
              <w:rPr>
                <w:rFonts w:hint="eastAsia" w:ascii="仿宋_GB2312" w:hAnsi="宋体" w:eastAsia="仿宋_GB2312" w:cs="Calibri"/>
                <w:highlight w:val="none"/>
              </w:rPr>
              <w:t>赛场检录，竞赛选手进入赛位</w:t>
            </w:r>
          </w:p>
        </w:tc>
      </w:tr>
      <w:tr w14:paraId="0937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418" w:type="dxa"/>
            <w:vMerge w:val="continue"/>
            <w:shd w:val="clear" w:color="auto" w:fill="auto"/>
            <w:vAlign w:val="center"/>
          </w:tcPr>
          <w:p w14:paraId="1D8299AE">
            <w:pPr>
              <w:widowControl w:val="0"/>
              <w:jc w:val="center"/>
              <w:rPr>
                <w:rFonts w:ascii="仿宋_GB2312" w:hAnsi="宋体" w:eastAsia="仿宋_GB2312" w:cs="Calibri"/>
                <w:highlight w:val="none"/>
              </w:rPr>
            </w:pPr>
          </w:p>
        </w:tc>
        <w:tc>
          <w:tcPr>
            <w:tcW w:w="1701" w:type="dxa"/>
            <w:shd w:val="clear" w:color="auto" w:fill="auto"/>
            <w:vAlign w:val="center"/>
          </w:tcPr>
          <w:p w14:paraId="7415687C">
            <w:pPr>
              <w:widowControl w:val="0"/>
              <w:jc w:val="center"/>
              <w:rPr>
                <w:rFonts w:ascii="仿宋_GB2312" w:hAnsi="宋体" w:eastAsia="仿宋_GB2312" w:cs="Calibri"/>
                <w:highlight w:val="none"/>
              </w:rPr>
            </w:pPr>
            <w:r>
              <w:rPr>
                <w:rFonts w:hint="eastAsia" w:ascii="仿宋_GB2312" w:hAnsi="宋体" w:eastAsia="仿宋_GB2312" w:cs="Calibri"/>
                <w:highlight w:val="none"/>
                <w:lang w:val="en-US" w:eastAsia="zh-CN"/>
              </w:rPr>
              <w:t>08</w:t>
            </w:r>
            <w:r>
              <w:rPr>
                <w:rFonts w:hint="eastAsia" w:ascii="仿宋_GB2312" w:hAnsi="宋体" w:eastAsia="仿宋_GB2312" w:cs="Calibri"/>
                <w:highlight w:val="none"/>
              </w:rPr>
              <w:t>:00-</w:t>
            </w:r>
            <w:r>
              <w:rPr>
                <w:rFonts w:hint="eastAsia" w:ascii="仿宋_GB2312" w:hAnsi="宋体" w:eastAsia="仿宋_GB2312" w:cs="Calibri"/>
                <w:highlight w:val="none"/>
                <w:lang w:val="en-US" w:eastAsia="zh-CN"/>
              </w:rPr>
              <w:t>20</w:t>
            </w:r>
            <w:r>
              <w:rPr>
                <w:rFonts w:hint="eastAsia" w:ascii="仿宋_GB2312" w:hAnsi="宋体" w:eastAsia="仿宋_GB2312" w:cs="Calibri"/>
                <w:highlight w:val="none"/>
              </w:rPr>
              <w:t>:00</w:t>
            </w:r>
          </w:p>
        </w:tc>
        <w:tc>
          <w:tcPr>
            <w:tcW w:w="5549" w:type="dxa"/>
            <w:shd w:val="clear" w:color="auto" w:fill="auto"/>
            <w:vAlign w:val="center"/>
          </w:tcPr>
          <w:p w14:paraId="63EA71AE">
            <w:pPr>
              <w:widowControl w:val="0"/>
              <w:rPr>
                <w:rFonts w:ascii="仿宋_GB2312" w:hAnsi="宋体" w:eastAsia="仿宋_GB2312" w:cs="Calibri"/>
                <w:highlight w:val="none"/>
              </w:rPr>
            </w:pPr>
            <w:r>
              <w:rPr>
                <w:rFonts w:hint="eastAsia" w:ascii="仿宋_GB2312" w:hAnsi="宋体" w:eastAsia="仿宋_GB2312" w:cs="Calibri"/>
                <w:highlight w:val="none"/>
              </w:rPr>
              <w:t>竞赛选手完成竞赛任务</w:t>
            </w:r>
          </w:p>
        </w:tc>
      </w:tr>
      <w:tr w14:paraId="4EF3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continue"/>
            <w:shd w:val="clear" w:color="auto" w:fill="auto"/>
            <w:vAlign w:val="center"/>
          </w:tcPr>
          <w:p w14:paraId="10739DC0">
            <w:pPr>
              <w:widowControl w:val="0"/>
              <w:jc w:val="center"/>
              <w:rPr>
                <w:rFonts w:ascii="仿宋_GB2312" w:hAnsi="宋体" w:eastAsia="仿宋_GB2312" w:cs="Calibri"/>
                <w:highlight w:val="none"/>
              </w:rPr>
            </w:pPr>
          </w:p>
        </w:tc>
        <w:tc>
          <w:tcPr>
            <w:tcW w:w="1701" w:type="dxa"/>
            <w:shd w:val="clear" w:color="auto" w:fill="auto"/>
            <w:vAlign w:val="center"/>
          </w:tcPr>
          <w:p w14:paraId="6F2B4B2B">
            <w:pPr>
              <w:widowControl w:val="0"/>
              <w:jc w:val="center"/>
              <w:rPr>
                <w:rFonts w:ascii="仿宋_GB2312" w:hAnsi="宋体" w:eastAsia="仿宋_GB2312" w:cs="Calibri"/>
                <w:highlight w:val="none"/>
              </w:rPr>
            </w:pPr>
            <w:r>
              <w:rPr>
                <w:rFonts w:hint="eastAsia" w:ascii="仿宋_GB2312" w:hAnsi="宋体" w:eastAsia="仿宋_GB2312" w:cs="Calibri"/>
                <w:highlight w:val="none"/>
                <w:lang w:val="en-US" w:eastAsia="zh-CN"/>
              </w:rPr>
              <w:t>08</w:t>
            </w:r>
            <w:r>
              <w:rPr>
                <w:rFonts w:hint="eastAsia" w:ascii="仿宋_GB2312" w:hAnsi="宋体" w:eastAsia="仿宋_GB2312" w:cs="Calibri"/>
                <w:highlight w:val="none"/>
              </w:rPr>
              <w:t>:00-</w:t>
            </w:r>
            <w:r>
              <w:rPr>
                <w:rFonts w:hint="eastAsia" w:ascii="仿宋_GB2312" w:hAnsi="宋体" w:eastAsia="仿宋_GB2312" w:cs="Calibri"/>
                <w:highlight w:val="none"/>
                <w:lang w:val="en-US" w:eastAsia="zh-CN"/>
              </w:rPr>
              <w:t>20</w:t>
            </w:r>
            <w:r>
              <w:rPr>
                <w:rFonts w:hint="eastAsia" w:ascii="仿宋_GB2312" w:hAnsi="宋体" w:eastAsia="仿宋_GB2312" w:cs="Calibri"/>
                <w:highlight w:val="none"/>
              </w:rPr>
              <w:t>:00</w:t>
            </w:r>
          </w:p>
        </w:tc>
        <w:tc>
          <w:tcPr>
            <w:tcW w:w="5549" w:type="dxa"/>
            <w:shd w:val="clear" w:color="auto" w:fill="auto"/>
            <w:vAlign w:val="center"/>
          </w:tcPr>
          <w:p w14:paraId="3EF2CD3F">
            <w:pPr>
              <w:widowControl w:val="0"/>
              <w:rPr>
                <w:rFonts w:ascii="仿宋_GB2312" w:hAnsi="宋体" w:eastAsia="仿宋_GB2312" w:cs="Calibri"/>
                <w:highlight w:val="none"/>
              </w:rPr>
            </w:pPr>
            <w:r>
              <w:rPr>
                <w:rFonts w:hint="eastAsia" w:ascii="仿宋_GB2312" w:hAnsi="宋体" w:eastAsia="仿宋_GB2312" w:cs="Calibri"/>
                <w:highlight w:val="none"/>
              </w:rPr>
              <w:t>对选手</w:t>
            </w:r>
            <w:r>
              <w:rPr>
                <w:rFonts w:hint="eastAsia" w:ascii="仿宋_GB2312" w:hAnsi="宋体" w:eastAsia="仿宋_GB2312" w:cs="Calibri"/>
                <w:highlight w:val="none"/>
                <w:lang w:val="en-US" w:eastAsia="zh-CN"/>
              </w:rPr>
              <w:t>作品</w:t>
            </w:r>
            <w:r>
              <w:rPr>
                <w:rFonts w:hint="eastAsia" w:ascii="仿宋_GB2312" w:hAnsi="宋体" w:eastAsia="仿宋_GB2312" w:cs="Calibri"/>
                <w:highlight w:val="none"/>
              </w:rPr>
              <w:t>进行评分</w:t>
            </w:r>
          </w:p>
        </w:tc>
      </w:tr>
    </w:tbl>
    <w:p w14:paraId="54B1AA5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drawing>
          <wp:anchor distT="0" distB="0" distL="114300" distR="114300" simplePos="0" relativeHeight="251659264" behindDoc="0" locked="0" layoutInCell="1" allowOverlap="1">
            <wp:simplePos x="0" y="0"/>
            <wp:positionH relativeFrom="margin">
              <wp:posOffset>1638935</wp:posOffset>
            </wp:positionH>
            <wp:positionV relativeFrom="paragraph">
              <wp:posOffset>610870</wp:posOffset>
            </wp:positionV>
            <wp:extent cx="2213610" cy="2372360"/>
            <wp:effectExtent l="0" t="0" r="15240" b="8890"/>
            <wp:wrapTopAndBottom/>
            <wp:docPr id="1" name="图片 3" descr="1"/>
            <wp:cNvGraphicFramePr/>
            <a:graphic xmlns:a="http://schemas.openxmlformats.org/drawingml/2006/main">
              <a:graphicData uri="http://schemas.openxmlformats.org/drawingml/2006/picture">
                <pic:pic xmlns:pic="http://schemas.openxmlformats.org/drawingml/2006/picture">
                  <pic:nvPicPr>
                    <pic:cNvPr id="1" name="图片 3" descr="1"/>
                    <pic:cNvPicPr/>
                  </pic:nvPicPr>
                  <pic:blipFill>
                    <a:blip r:embed="rId5"/>
                    <a:stretch>
                      <a:fillRect/>
                    </a:stretch>
                  </pic:blipFill>
                  <pic:spPr>
                    <a:xfrm>
                      <a:off x="0" y="0"/>
                      <a:ext cx="2213610" cy="2372360"/>
                    </a:xfrm>
                    <a:prstGeom prst="rect">
                      <a:avLst/>
                    </a:prstGeom>
                    <a:noFill/>
                    <a:ln>
                      <a:noFill/>
                    </a:ln>
                  </pic:spPr>
                </pic:pic>
              </a:graphicData>
            </a:graphic>
          </wp:anchor>
        </w:drawing>
      </w:r>
      <w:r>
        <w:rPr>
          <w:rFonts w:hint="eastAsia" w:ascii="Times New Roman" w:hAnsi="Times New Roman" w:eastAsia="仿宋" w:cs="Times New Roman"/>
          <w:color w:val="auto"/>
          <w:sz w:val="28"/>
          <w:szCs w:val="24"/>
          <w:highlight w:val="none"/>
          <w:lang w:val="en-US" w:eastAsia="zh-CN"/>
        </w:rPr>
        <w:t>（二）竞赛流程</w:t>
      </w:r>
    </w:p>
    <w:p w14:paraId="0669B4F6">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bookmarkStart w:id="4" w:name="_Toc12151"/>
      <w:r>
        <w:rPr>
          <w:rFonts w:hint="default" w:asciiTheme="minorEastAsia" w:hAnsiTheme="minorEastAsia" w:eastAsiaTheme="minorEastAsia" w:cstheme="minorEastAsia"/>
          <w:b/>
          <w:bCs/>
          <w:sz w:val="30"/>
          <w:szCs w:val="30"/>
          <w:highlight w:val="none"/>
        </w:rPr>
        <w:t>比赛场地及设备</w:t>
      </w:r>
      <w:bookmarkEnd w:id="4"/>
    </w:p>
    <w:p w14:paraId="6B116D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（一）</w:t>
      </w:r>
      <w:r>
        <w:rPr>
          <w:rFonts w:hint="default" w:ascii="Times New Roman" w:hAnsi="Times New Roman" w:eastAsia="仿宋" w:cs="Times New Roman"/>
          <w:color w:val="auto"/>
          <w:sz w:val="28"/>
          <w:szCs w:val="24"/>
          <w:highlight w:val="none"/>
          <w:lang w:val="en-US" w:eastAsia="zh-CN"/>
        </w:rPr>
        <w:t xml:space="preserve"> 赛场描述</w:t>
      </w:r>
    </w:p>
    <w:p w14:paraId="34AF9D2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eastAsia="仿宋" w:cs="Times New Roman"/>
          <w:color w:val="auto"/>
          <w:sz w:val="28"/>
          <w:szCs w:val="24"/>
          <w:highlight w:val="none"/>
          <w:lang w:val="en-US" w:eastAsia="zh-CN"/>
        </w:rPr>
      </w:pPr>
      <w:r>
        <w:rPr>
          <w:rFonts w:hint="eastAsia" w:eastAsia="仿宋" w:cs="Times New Roman"/>
          <w:color w:val="auto"/>
          <w:sz w:val="28"/>
          <w:szCs w:val="24"/>
          <w:highlight w:val="none"/>
          <w:lang w:val="en-US" w:eastAsia="zh-CN"/>
        </w:rPr>
        <w:t>赛场建设、工位布局、供电网络、网络环境、安防监控、消防应急等均严格按照国家职业技能竞赛相关标准及《2026 年世界职业院校技能大赛赛道简介》技术要求落实，设置竞赛区、裁判区、候赛备赛区、技术保障区等功能区域，保障比赛公平有序开展</w:t>
      </w:r>
      <w:bookmarkStart w:id="7" w:name="_GoBack"/>
      <w:bookmarkEnd w:id="7"/>
      <w:r>
        <w:rPr>
          <w:rFonts w:hint="eastAsia" w:eastAsia="仿宋" w:cs="Times New Roman"/>
          <w:color w:val="auto"/>
          <w:sz w:val="28"/>
          <w:szCs w:val="24"/>
          <w:highlight w:val="none"/>
          <w:lang w:val="en-US" w:eastAsia="zh-CN"/>
        </w:rPr>
        <w:t>。</w:t>
      </w:r>
    </w:p>
    <w:p w14:paraId="47DCFDC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rPr>
      </w:pPr>
      <w:r>
        <w:rPr>
          <w:rFonts w:hint="eastAsia" w:ascii="Times New Roman" w:hAnsi="Times New Roman" w:eastAsia="仿宋" w:cs="Times New Roman"/>
          <w:color w:val="auto"/>
          <w:sz w:val="28"/>
          <w:szCs w:val="24"/>
          <w:highlight w:val="none"/>
          <w:lang w:val="en-US" w:eastAsia="zh-CN"/>
        </w:rPr>
        <w:t>（二）</w:t>
      </w:r>
      <w:r>
        <w:rPr>
          <w:rFonts w:hint="default" w:ascii="Times New Roman" w:hAnsi="Times New Roman" w:eastAsia="仿宋" w:cs="Times New Roman"/>
          <w:color w:val="auto"/>
          <w:sz w:val="28"/>
          <w:szCs w:val="24"/>
          <w:highlight w:val="none"/>
        </w:rPr>
        <w:t>设备情况</w:t>
      </w:r>
    </w:p>
    <w:p w14:paraId="08A9665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32"/>
          <w:rFonts w:hint="default" w:ascii="Times New Roman" w:hAnsi="Times New Roman" w:cs="Times New Roman"/>
          <w:sz w:val="32"/>
          <w:szCs w:val="32"/>
          <w:lang w:bidi="ar"/>
        </w:rPr>
      </w:pPr>
      <w:r>
        <w:rPr>
          <w:rFonts w:hint="default" w:ascii="Times New Roman" w:hAnsi="Times New Roman" w:eastAsia="仿宋" w:cs="Times New Roman"/>
          <w:color w:val="auto"/>
          <w:sz w:val="28"/>
          <w:szCs w:val="24"/>
          <w:highlight w:val="none"/>
          <w:lang w:val="en-US" w:eastAsia="zh-CN"/>
        </w:rPr>
        <w:t>设备情况请参照下表《承办学校提供的设备和场地信息清单》。</w:t>
      </w:r>
    </w:p>
    <w:p w14:paraId="61A5B565">
      <w:pPr>
        <w:pStyle w:val="7"/>
        <w:jc w:val="center"/>
        <w:rPr>
          <w:rStyle w:val="32"/>
          <w:rFonts w:hint="default" w:ascii="Times New Roman" w:hAnsi="Times New Roman" w:cs="Times New Roman"/>
          <w:sz w:val="28"/>
          <w:szCs w:val="28"/>
          <w:lang w:eastAsia="zh-CN" w:bidi="ar"/>
        </w:rPr>
      </w:pPr>
      <w:r>
        <w:rPr>
          <w:rStyle w:val="32"/>
          <w:rFonts w:hint="default" w:ascii="Times New Roman" w:hAnsi="Times New Roman" w:cs="Times New Roman"/>
          <w:sz w:val="28"/>
          <w:szCs w:val="28"/>
          <w:lang w:eastAsia="zh-CN" w:bidi="ar"/>
        </w:rPr>
        <w:t>附表：承办学校提供的设备和场地信息清单</w:t>
      </w:r>
    </w:p>
    <w:tbl>
      <w:tblPr>
        <w:tblStyle w:val="14"/>
        <w:tblW w:w="4953" w:type="pct"/>
        <w:tblInd w:w="0" w:type="dxa"/>
        <w:tblLayout w:type="autofit"/>
        <w:tblCellMar>
          <w:top w:w="0" w:type="dxa"/>
          <w:left w:w="108" w:type="dxa"/>
          <w:bottom w:w="0" w:type="dxa"/>
          <w:right w:w="108" w:type="dxa"/>
        </w:tblCellMar>
      </w:tblPr>
      <w:tblGrid>
        <w:gridCol w:w="1546"/>
        <w:gridCol w:w="2459"/>
        <w:gridCol w:w="2363"/>
        <w:gridCol w:w="1559"/>
        <w:gridCol w:w="1274"/>
      </w:tblGrid>
      <w:tr w14:paraId="5EAD7281">
        <w:tblPrEx>
          <w:tblCellMar>
            <w:top w:w="0" w:type="dxa"/>
            <w:left w:w="108" w:type="dxa"/>
            <w:bottom w:w="0" w:type="dxa"/>
            <w:right w:w="108" w:type="dxa"/>
          </w:tblCellMar>
        </w:tblPrEx>
        <w:trPr>
          <w:trHeight w:val="595" w:hRule="atLeast"/>
        </w:trPr>
        <w:tc>
          <w:tcPr>
            <w:tcW w:w="8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61F5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top"/>
              <w:rPr>
                <w:rFonts w:hint="default" w:ascii="Times New Roman" w:hAnsi="Times New Roman" w:eastAsia="宋体" w:cs="Times New Roman"/>
                <w:b/>
                <w:bCs/>
                <w:color w:val="000000"/>
                <w:sz w:val="24"/>
                <w:szCs w:val="24"/>
              </w:rPr>
            </w:pPr>
            <w:r>
              <w:rPr>
                <w:rStyle w:val="33"/>
                <w:rFonts w:hint="default" w:ascii="Times New Roman" w:hAnsi="Times New Roman" w:cs="Times New Roman"/>
                <w:sz w:val="24"/>
                <w:szCs w:val="24"/>
                <w:lang w:bidi="ar"/>
              </w:rPr>
              <w:t>承办学校</w:t>
            </w:r>
          </w:p>
        </w:tc>
        <w:tc>
          <w:tcPr>
            <w:tcW w:w="415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4A93A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宋体" w:cs="Times New Roman"/>
                <w:color w:val="000000"/>
                <w:sz w:val="24"/>
                <w:szCs w:val="24"/>
                <w:lang w:val="en-US" w:eastAsia="zh-CN"/>
              </w:rPr>
            </w:pPr>
            <w:r>
              <w:rPr>
                <w:rFonts w:hint="default" w:ascii="Times New Roman" w:hAnsi="Times New Roman" w:cs="Times New Roman"/>
                <w:color w:val="000000"/>
                <w:sz w:val="24"/>
                <w:szCs w:val="24"/>
              </w:rPr>
              <w:t>河北</w:t>
            </w:r>
            <w:r>
              <w:rPr>
                <w:rFonts w:hint="eastAsia" w:cs="Times New Roman"/>
                <w:color w:val="000000"/>
                <w:sz w:val="24"/>
                <w:szCs w:val="24"/>
                <w:lang w:val="en-US" w:eastAsia="zh-CN"/>
              </w:rPr>
              <w:t>石油职业技术大学</w:t>
            </w:r>
          </w:p>
        </w:tc>
      </w:tr>
      <w:tr w14:paraId="325D252B">
        <w:tblPrEx>
          <w:tblCellMar>
            <w:top w:w="0" w:type="dxa"/>
            <w:left w:w="108" w:type="dxa"/>
            <w:bottom w:w="0" w:type="dxa"/>
            <w:right w:w="108" w:type="dxa"/>
          </w:tblCellMar>
        </w:tblPrEx>
        <w:trPr>
          <w:trHeight w:val="666" w:hRule="atLeast"/>
        </w:trPr>
        <w:tc>
          <w:tcPr>
            <w:tcW w:w="8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A8B6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bottom"/>
              <w:rPr>
                <w:rFonts w:hint="default" w:ascii="Times New Roman" w:hAnsi="Times New Roman" w:eastAsia="宋体" w:cs="Times New Roman"/>
                <w:b/>
                <w:bCs/>
                <w:color w:val="000000"/>
                <w:sz w:val="24"/>
                <w:szCs w:val="24"/>
              </w:rPr>
            </w:pPr>
            <w:r>
              <w:rPr>
                <w:rStyle w:val="33"/>
                <w:rFonts w:hint="default" w:ascii="Times New Roman" w:hAnsi="Times New Roman" w:cs="Times New Roman"/>
                <w:sz w:val="24"/>
                <w:szCs w:val="24"/>
                <w:lang w:bidi="ar"/>
              </w:rPr>
              <w:t>所属赛道</w:t>
            </w:r>
          </w:p>
        </w:tc>
        <w:tc>
          <w:tcPr>
            <w:tcW w:w="1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4EF9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lang w:val="en-US" w:eastAsia="zh-CN"/>
              </w:rPr>
              <w:t>人工智能</w:t>
            </w:r>
            <w:r>
              <w:rPr>
                <w:rFonts w:hint="default" w:ascii="Times New Roman" w:hAnsi="Times New Roman" w:cs="Times New Roman"/>
                <w:color w:val="000000"/>
                <w:sz w:val="24"/>
                <w:szCs w:val="24"/>
              </w:rPr>
              <w:t>赛道</w:t>
            </w:r>
          </w:p>
        </w:tc>
        <w:tc>
          <w:tcPr>
            <w:tcW w:w="1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2EB7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bottom"/>
              <w:rPr>
                <w:rFonts w:hint="default" w:ascii="Times New Roman" w:hAnsi="Times New Roman" w:eastAsia="宋体" w:cs="Times New Roman"/>
                <w:b/>
                <w:bCs/>
                <w:color w:val="000000"/>
                <w:sz w:val="24"/>
                <w:szCs w:val="24"/>
              </w:rPr>
            </w:pPr>
            <w:r>
              <w:rPr>
                <w:rStyle w:val="33"/>
                <w:rFonts w:hint="default" w:ascii="Times New Roman" w:hAnsi="Times New Roman" w:cs="Times New Roman"/>
                <w:sz w:val="24"/>
                <w:szCs w:val="24"/>
                <w:lang w:bidi="ar"/>
              </w:rPr>
              <w:t>组别</w:t>
            </w:r>
          </w:p>
        </w:tc>
        <w:tc>
          <w:tcPr>
            <w:tcW w:w="1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835A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Times New Roman" w:hAnsi="Times New Roman" w:eastAsia="宋体" w:cs="Times New Roman"/>
                <w:color w:val="000000"/>
                <w:sz w:val="24"/>
                <w:szCs w:val="24"/>
                <w:lang w:eastAsia="zh-CN"/>
              </w:rPr>
            </w:pPr>
            <w:r>
              <w:rPr>
                <w:rFonts w:hint="eastAsia" w:ascii="Times New Roman" w:hAnsi="Times New Roman" w:cs="Times New Roman"/>
                <w:color w:val="000000"/>
                <w:sz w:val="24"/>
                <w:szCs w:val="24"/>
                <w:lang w:val="en-US" w:eastAsia="zh-CN"/>
              </w:rPr>
              <w:t>高</w:t>
            </w:r>
            <w:r>
              <w:rPr>
                <w:rFonts w:hint="eastAsia" w:cs="Times New Roman"/>
                <w:color w:val="000000"/>
                <w:sz w:val="24"/>
                <w:szCs w:val="24"/>
                <w:lang w:val="en-US" w:eastAsia="zh-CN"/>
              </w:rPr>
              <w:t>校</w:t>
            </w:r>
            <w:r>
              <w:rPr>
                <w:rFonts w:hint="eastAsia" w:ascii="Times New Roman" w:hAnsi="Times New Roman" w:cs="Times New Roman"/>
                <w:color w:val="000000"/>
                <w:sz w:val="24"/>
                <w:szCs w:val="24"/>
                <w:lang w:val="en-US" w:eastAsia="zh-CN"/>
              </w:rPr>
              <w:t>组</w:t>
            </w:r>
          </w:p>
        </w:tc>
      </w:tr>
      <w:tr w14:paraId="5AD4651B">
        <w:tblPrEx>
          <w:tblCellMar>
            <w:top w:w="0" w:type="dxa"/>
            <w:left w:w="108" w:type="dxa"/>
            <w:bottom w:w="0" w:type="dxa"/>
            <w:right w:w="108" w:type="dxa"/>
          </w:tblCellMar>
        </w:tblPrEx>
        <w:trPr>
          <w:trHeight w:val="990" w:hRule="atLeast"/>
        </w:trPr>
        <w:tc>
          <w:tcPr>
            <w:tcW w:w="8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56D74">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3"/>
                <w:rFonts w:hint="default" w:ascii="Times New Roman" w:hAnsi="Times New Roman" w:cs="Times New Roman"/>
                <w:sz w:val="24"/>
                <w:szCs w:val="24"/>
                <w:lang w:bidi="ar"/>
              </w:rPr>
              <w:t>类别</w:t>
            </w:r>
          </w:p>
        </w:tc>
        <w:tc>
          <w:tcPr>
            <w:tcW w:w="1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2195A">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3"/>
                <w:rFonts w:hint="default" w:ascii="Times New Roman" w:hAnsi="Times New Roman" w:cs="Times New Roman"/>
                <w:sz w:val="24"/>
                <w:szCs w:val="24"/>
                <w:lang w:bidi="ar"/>
              </w:rPr>
              <w:t>名称</w:t>
            </w:r>
          </w:p>
        </w:tc>
        <w:tc>
          <w:tcPr>
            <w:tcW w:w="1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A86B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3"/>
                <w:rFonts w:hint="default" w:ascii="Times New Roman" w:hAnsi="Times New Roman" w:cs="Times New Roman"/>
                <w:sz w:val="24"/>
                <w:szCs w:val="24"/>
                <w:lang w:bidi="ar"/>
              </w:rPr>
              <w:t>主要技术参数</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F8AE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3"/>
                <w:rFonts w:hint="default" w:ascii="Times New Roman" w:hAnsi="Times New Roman" w:cs="Times New Roman"/>
                <w:sz w:val="24"/>
                <w:szCs w:val="24"/>
                <w:lang w:bidi="ar"/>
              </w:rPr>
              <w:t>台套数</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1A62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color w:val="000000"/>
                <w:sz w:val="24"/>
                <w:szCs w:val="24"/>
              </w:rPr>
            </w:pPr>
            <w:r>
              <w:rPr>
                <w:rStyle w:val="33"/>
                <w:rFonts w:hint="default" w:ascii="Times New Roman" w:hAnsi="Times New Roman" w:cs="Times New Roman"/>
                <w:sz w:val="24"/>
                <w:szCs w:val="24"/>
                <w:lang w:bidi="ar"/>
              </w:rPr>
              <w:t>备注</w:t>
            </w:r>
          </w:p>
        </w:tc>
      </w:tr>
      <w:tr w14:paraId="70CAFBC7">
        <w:tblPrEx>
          <w:tblCellMar>
            <w:top w:w="0" w:type="dxa"/>
            <w:left w:w="108" w:type="dxa"/>
            <w:bottom w:w="0" w:type="dxa"/>
            <w:right w:w="108" w:type="dxa"/>
          </w:tblCellMar>
        </w:tblPrEx>
        <w:trPr>
          <w:trHeight w:val="637" w:hRule="atLeast"/>
        </w:trPr>
        <w:tc>
          <w:tcPr>
            <w:tcW w:w="840" w:type="pct"/>
            <w:vMerge w:val="restart"/>
            <w:tcBorders>
              <w:left w:val="single" w:color="000000" w:sz="4" w:space="0"/>
              <w:right w:val="single" w:color="000000" w:sz="4" w:space="0"/>
            </w:tcBorders>
            <w:shd w:val="clear" w:color="auto" w:fill="auto"/>
            <w:vAlign w:val="center"/>
          </w:tcPr>
          <w:p w14:paraId="7706862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Style w:val="33"/>
                <w:rFonts w:hint="eastAsia" w:ascii="Times New Roman" w:hAnsi="Times New Roman" w:eastAsia="宋体" w:cs="Times New Roman"/>
                <w:sz w:val="24"/>
                <w:szCs w:val="24"/>
                <w:lang w:val="en-US" w:eastAsia="zh-CN" w:bidi="ar"/>
              </w:rPr>
            </w:pPr>
            <w:r>
              <w:rPr>
                <w:rStyle w:val="33"/>
                <w:rFonts w:hint="eastAsia" w:cs="Times New Roman"/>
                <w:sz w:val="24"/>
                <w:szCs w:val="24"/>
                <w:lang w:val="en-US" w:eastAsia="zh-CN" w:bidi="ar"/>
              </w:rPr>
              <w:t>设备</w:t>
            </w:r>
          </w:p>
        </w:tc>
        <w:tc>
          <w:tcPr>
            <w:tcW w:w="1336" w:type="pct"/>
            <w:tcBorders>
              <w:top w:val="single" w:color="auto" w:sz="4" w:space="0"/>
              <w:left w:val="single" w:color="000000" w:sz="4" w:space="0"/>
              <w:bottom w:val="single" w:color="auto" w:sz="4" w:space="0"/>
              <w:right w:val="single" w:color="000000" w:sz="4" w:space="0"/>
            </w:tcBorders>
            <w:shd w:val="clear" w:color="auto" w:fill="auto"/>
            <w:vAlign w:val="center"/>
          </w:tcPr>
          <w:p w14:paraId="73106CC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color w:val="000000"/>
                <w:sz w:val="24"/>
                <w:szCs w:val="24"/>
                <w:highlight w:val="none"/>
              </w:rPr>
            </w:pPr>
            <w:r>
              <w:rPr>
                <w:rFonts w:hint="default" w:ascii="Times New Roman" w:hAnsi="Times New Roman" w:eastAsia="宋体" w:cs="Times New Roman"/>
                <w:color w:val="000000"/>
                <w:sz w:val="24"/>
                <w:szCs w:val="24"/>
                <w:highlight w:val="none"/>
                <w:lang w:bidi="ar"/>
              </w:rPr>
              <w:t>投影仪/显示屏幕</w:t>
            </w:r>
          </w:p>
        </w:tc>
        <w:tc>
          <w:tcPr>
            <w:tcW w:w="1284" w:type="pct"/>
            <w:tcBorders>
              <w:top w:val="single" w:color="auto" w:sz="4" w:space="0"/>
              <w:left w:val="single" w:color="000000" w:sz="4" w:space="0"/>
              <w:bottom w:val="single" w:color="auto" w:sz="4" w:space="0"/>
              <w:right w:val="single" w:color="000000" w:sz="4" w:space="0"/>
            </w:tcBorders>
            <w:shd w:val="clear" w:color="auto" w:fill="auto"/>
            <w:vAlign w:val="center"/>
          </w:tcPr>
          <w:p w14:paraId="2B90607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提供高清接口显示</w:t>
            </w:r>
          </w:p>
        </w:tc>
        <w:tc>
          <w:tcPr>
            <w:tcW w:w="847" w:type="pct"/>
            <w:tcBorders>
              <w:top w:val="single" w:color="auto" w:sz="4" w:space="0"/>
              <w:left w:val="single" w:color="000000" w:sz="4" w:space="0"/>
              <w:bottom w:val="single" w:color="auto" w:sz="4" w:space="0"/>
              <w:right w:val="single" w:color="000000" w:sz="4" w:space="0"/>
            </w:tcBorders>
            <w:shd w:val="clear" w:color="auto" w:fill="auto"/>
            <w:vAlign w:val="center"/>
          </w:tcPr>
          <w:p w14:paraId="7EBB652D">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Times New Roman" w:hAnsi="Times New Roman" w:eastAsia="宋体" w:cs="Times New Roman"/>
                <w:color w:val="000000"/>
                <w:sz w:val="24"/>
                <w:szCs w:val="24"/>
                <w:highlight w:val="none"/>
                <w:lang w:eastAsia="zh-CN"/>
              </w:rPr>
            </w:pPr>
            <w:r>
              <w:rPr>
                <w:rFonts w:hint="eastAsia" w:cs="Times New Roman"/>
                <w:color w:val="000000"/>
                <w:sz w:val="24"/>
                <w:szCs w:val="24"/>
                <w:highlight w:val="none"/>
                <w:lang w:val="en-US" w:eastAsia="zh-CN"/>
              </w:rPr>
              <w:t>2</w:t>
            </w:r>
          </w:p>
        </w:tc>
        <w:tc>
          <w:tcPr>
            <w:tcW w:w="692" w:type="pct"/>
            <w:tcBorders>
              <w:top w:val="single" w:color="auto" w:sz="4" w:space="0"/>
              <w:left w:val="single" w:color="000000" w:sz="4" w:space="0"/>
              <w:bottom w:val="single" w:color="auto" w:sz="4" w:space="0"/>
              <w:right w:val="single" w:color="000000" w:sz="4" w:space="0"/>
            </w:tcBorders>
            <w:shd w:val="clear" w:color="auto" w:fill="auto"/>
            <w:vAlign w:val="center"/>
          </w:tcPr>
          <w:p w14:paraId="77E3C51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p>
        </w:tc>
      </w:tr>
      <w:tr w14:paraId="1BF4D56C">
        <w:tblPrEx>
          <w:tblCellMar>
            <w:top w:w="0" w:type="dxa"/>
            <w:left w:w="108" w:type="dxa"/>
            <w:bottom w:w="0" w:type="dxa"/>
            <w:right w:w="108" w:type="dxa"/>
          </w:tblCellMar>
        </w:tblPrEx>
        <w:trPr>
          <w:trHeight w:val="637" w:hRule="atLeast"/>
        </w:trPr>
        <w:tc>
          <w:tcPr>
            <w:tcW w:w="840" w:type="pct"/>
            <w:vMerge w:val="continue"/>
            <w:tcBorders>
              <w:left w:val="single" w:color="000000" w:sz="4" w:space="0"/>
              <w:bottom w:val="single" w:color="000000" w:sz="4" w:space="0"/>
              <w:right w:val="single" w:color="000000" w:sz="4" w:space="0"/>
            </w:tcBorders>
            <w:shd w:val="clear" w:color="auto" w:fill="auto"/>
            <w:vAlign w:val="center"/>
          </w:tcPr>
          <w:p w14:paraId="3335469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Style w:val="33"/>
                <w:rFonts w:hint="default" w:ascii="Times New Roman" w:hAnsi="Times New Roman" w:cs="Times New Roman"/>
                <w:sz w:val="24"/>
                <w:szCs w:val="24"/>
                <w:lang w:bidi="ar"/>
              </w:rPr>
            </w:pPr>
          </w:p>
        </w:tc>
        <w:tc>
          <w:tcPr>
            <w:tcW w:w="1336" w:type="pct"/>
            <w:tcBorders>
              <w:top w:val="single" w:color="auto" w:sz="4" w:space="0"/>
              <w:left w:val="single" w:color="000000" w:sz="4" w:space="0"/>
              <w:bottom w:val="single" w:color="000000" w:sz="4" w:space="0"/>
              <w:right w:val="single" w:color="000000" w:sz="4" w:space="0"/>
            </w:tcBorders>
            <w:shd w:val="clear" w:color="auto" w:fill="auto"/>
            <w:vAlign w:val="center"/>
          </w:tcPr>
          <w:p w14:paraId="7C1CF2CC">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color w:val="000000"/>
                <w:sz w:val="24"/>
                <w:szCs w:val="24"/>
                <w:highlight w:val="none"/>
                <w:lang w:bidi="ar"/>
              </w:rPr>
            </w:pPr>
            <w:r>
              <w:rPr>
                <w:rFonts w:hint="default" w:ascii="Times New Roman" w:hAnsi="Times New Roman" w:eastAsia="宋体" w:cs="Times New Roman"/>
                <w:color w:val="000000"/>
                <w:sz w:val="24"/>
                <w:szCs w:val="24"/>
                <w:highlight w:val="none"/>
                <w:lang w:bidi="ar"/>
              </w:rPr>
              <w:t>HDMI高清线</w:t>
            </w:r>
          </w:p>
        </w:tc>
        <w:tc>
          <w:tcPr>
            <w:tcW w:w="1284" w:type="pct"/>
            <w:tcBorders>
              <w:top w:val="single" w:color="auto" w:sz="4" w:space="0"/>
              <w:left w:val="single" w:color="000000" w:sz="4" w:space="0"/>
              <w:bottom w:val="single" w:color="000000" w:sz="4" w:space="0"/>
              <w:right w:val="single" w:color="000000" w:sz="4" w:space="0"/>
            </w:tcBorders>
            <w:shd w:val="clear" w:color="auto" w:fill="auto"/>
            <w:vAlign w:val="center"/>
          </w:tcPr>
          <w:p w14:paraId="7E1A61D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Times New Roman" w:hAnsi="Times New Roman" w:eastAsia="宋体" w:cs="Times New Roman"/>
                <w:color w:val="000000"/>
                <w:sz w:val="24"/>
                <w:szCs w:val="24"/>
                <w:highlight w:val="none"/>
                <w:lang w:val="en-US" w:eastAsia="zh-CN"/>
              </w:rPr>
            </w:pPr>
            <w:r>
              <w:rPr>
                <w:rFonts w:hint="eastAsia" w:cs="Times New Roman"/>
                <w:color w:val="000000"/>
                <w:sz w:val="24"/>
                <w:szCs w:val="24"/>
                <w:highlight w:val="none"/>
                <w:lang w:val="en-US" w:eastAsia="zh-CN"/>
              </w:rPr>
              <w:t>国标</w:t>
            </w:r>
          </w:p>
        </w:tc>
        <w:tc>
          <w:tcPr>
            <w:tcW w:w="847" w:type="pct"/>
            <w:tcBorders>
              <w:top w:val="single" w:color="auto" w:sz="4" w:space="0"/>
              <w:left w:val="single" w:color="000000" w:sz="4" w:space="0"/>
              <w:bottom w:val="single" w:color="000000" w:sz="4" w:space="0"/>
              <w:right w:val="single" w:color="000000" w:sz="4" w:space="0"/>
            </w:tcBorders>
            <w:shd w:val="clear" w:color="auto" w:fill="auto"/>
            <w:vAlign w:val="center"/>
          </w:tcPr>
          <w:p w14:paraId="76EAE1EA">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Times New Roman" w:hAnsi="Times New Roman" w:eastAsia="宋体" w:cs="Times New Roman"/>
                <w:color w:val="000000"/>
                <w:sz w:val="24"/>
                <w:szCs w:val="24"/>
                <w:highlight w:val="none"/>
                <w:lang w:val="en-US" w:eastAsia="zh-CN"/>
              </w:rPr>
            </w:pPr>
            <w:r>
              <w:rPr>
                <w:rFonts w:hint="eastAsia" w:cs="Times New Roman"/>
                <w:color w:val="000000"/>
                <w:sz w:val="24"/>
                <w:szCs w:val="24"/>
                <w:highlight w:val="none"/>
                <w:lang w:val="en-US" w:eastAsia="zh-CN"/>
              </w:rPr>
              <w:t>2</w:t>
            </w:r>
          </w:p>
        </w:tc>
        <w:tc>
          <w:tcPr>
            <w:tcW w:w="692" w:type="pct"/>
            <w:tcBorders>
              <w:top w:val="single" w:color="auto" w:sz="4" w:space="0"/>
              <w:left w:val="single" w:color="000000" w:sz="4" w:space="0"/>
              <w:bottom w:val="single" w:color="000000" w:sz="4" w:space="0"/>
              <w:right w:val="single" w:color="000000" w:sz="4" w:space="0"/>
            </w:tcBorders>
            <w:shd w:val="clear" w:color="auto" w:fill="auto"/>
            <w:vAlign w:val="center"/>
          </w:tcPr>
          <w:p w14:paraId="644F670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p>
        </w:tc>
      </w:tr>
      <w:tr w14:paraId="3CFE5A1F">
        <w:tblPrEx>
          <w:tblCellMar>
            <w:top w:w="0" w:type="dxa"/>
            <w:left w:w="108" w:type="dxa"/>
            <w:bottom w:w="0" w:type="dxa"/>
            <w:right w:w="108" w:type="dxa"/>
          </w:tblCellMar>
        </w:tblPrEx>
        <w:trPr>
          <w:trHeight w:val="638" w:hRule="atLeast"/>
        </w:trPr>
        <w:tc>
          <w:tcPr>
            <w:tcW w:w="8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98F7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3"/>
                <w:rFonts w:hint="default" w:ascii="Times New Roman" w:hAnsi="Times New Roman" w:cs="Times New Roman"/>
                <w:sz w:val="24"/>
                <w:szCs w:val="24"/>
                <w:lang w:bidi="ar"/>
              </w:rPr>
              <w:t>工具</w:t>
            </w:r>
          </w:p>
        </w:tc>
        <w:tc>
          <w:tcPr>
            <w:tcW w:w="1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2601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小推车</w:t>
            </w:r>
          </w:p>
        </w:tc>
        <w:tc>
          <w:tcPr>
            <w:tcW w:w="1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A20B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载重100公斤以内</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B0C4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宋体" w:cs="Times New Roman"/>
                <w:color w:val="000000"/>
                <w:sz w:val="24"/>
                <w:szCs w:val="24"/>
                <w:highlight w:val="none"/>
                <w:lang w:val="en-US" w:eastAsia="zh-CN"/>
              </w:rPr>
            </w:pPr>
            <w:r>
              <w:rPr>
                <w:rFonts w:hint="eastAsia" w:cs="Times New Roman"/>
                <w:color w:val="000000"/>
                <w:sz w:val="24"/>
                <w:szCs w:val="24"/>
                <w:highlight w:val="none"/>
                <w:lang w:val="en-US" w:eastAsia="zh-CN"/>
              </w:rPr>
              <w:t>1</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3189D">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cs="Times New Roman"/>
                <w:color w:val="000000"/>
                <w:sz w:val="24"/>
                <w:szCs w:val="24"/>
                <w:highlight w:val="none"/>
              </w:rPr>
            </w:pPr>
          </w:p>
        </w:tc>
      </w:tr>
      <w:tr w14:paraId="168A05C4">
        <w:tblPrEx>
          <w:tblCellMar>
            <w:top w:w="0" w:type="dxa"/>
            <w:left w:w="108" w:type="dxa"/>
            <w:bottom w:w="0" w:type="dxa"/>
            <w:right w:w="108" w:type="dxa"/>
          </w:tblCellMar>
        </w:tblPrEx>
        <w:trPr>
          <w:trHeight w:val="754" w:hRule="atLeast"/>
        </w:trPr>
        <w:tc>
          <w:tcPr>
            <w:tcW w:w="8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2934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bottom"/>
              <w:rPr>
                <w:rFonts w:hint="default" w:ascii="Times New Roman" w:hAnsi="Times New Roman" w:eastAsia="宋体" w:cs="Times New Roman"/>
                <w:b/>
                <w:bCs/>
                <w:color w:val="000000"/>
                <w:sz w:val="24"/>
                <w:szCs w:val="24"/>
              </w:rPr>
            </w:pPr>
            <w:r>
              <w:rPr>
                <w:rStyle w:val="33"/>
                <w:rFonts w:hint="default" w:ascii="Times New Roman" w:hAnsi="Times New Roman" w:cs="Times New Roman"/>
                <w:sz w:val="24"/>
                <w:szCs w:val="24"/>
                <w:lang w:bidi="ar"/>
              </w:rPr>
              <w:t>技术支持</w:t>
            </w:r>
          </w:p>
        </w:tc>
        <w:tc>
          <w:tcPr>
            <w:tcW w:w="415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B2D665">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bottom"/>
              <w:rPr>
                <w:rStyle w:val="34"/>
                <w:rFonts w:hint="default" w:ascii="Times New Roman" w:hAnsi="Times New Roman" w:cs="Times New Roman"/>
                <w:sz w:val="24"/>
                <w:szCs w:val="24"/>
                <w:highlight w:val="none"/>
                <w:lang w:bidi="ar"/>
              </w:rPr>
            </w:pPr>
            <w:r>
              <w:rPr>
                <w:rStyle w:val="34"/>
                <w:rFonts w:hint="default" w:ascii="Times New Roman" w:hAnsi="Times New Roman" w:cs="Times New Roman"/>
                <w:sz w:val="24"/>
                <w:szCs w:val="24"/>
                <w:highlight w:val="none"/>
                <w:lang w:bidi="ar"/>
              </w:rPr>
              <w:t>保障所提供硬件正常工作</w:t>
            </w:r>
          </w:p>
        </w:tc>
      </w:tr>
      <w:tr w14:paraId="2DBA6F02">
        <w:tblPrEx>
          <w:tblCellMar>
            <w:top w:w="0" w:type="dxa"/>
            <w:left w:w="108" w:type="dxa"/>
            <w:bottom w:w="0" w:type="dxa"/>
            <w:right w:w="108" w:type="dxa"/>
          </w:tblCellMar>
        </w:tblPrEx>
        <w:trPr>
          <w:trHeight w:val="1101" w:hRule="atLeast"/>
        </w:trPr>
        <w:tc>
          <w:tcPr>
            <w:tcW w:w="840" w:type="pct"/>
            <w:tcBorders>
              <w:top w:val="single" w:color="auto" w:sz="4" w:space="0"/>
              <w:left w:val="single" w:color="auto" w:sz="4" w:space="0"/>
              <w:bottom w:val="single" w:color="auto" w:sz="4" w:space="0"/>
              <w:right w:val="single" w:color="000000" w:sz="4" w:space="0"/>
            </w:tcBorders>
            <w:shd w:val="clear" w:color="auto" w:fill="auto"/>
            <w:vAlign w:val="center"/>
          </w:tcPr>
          <w:p w14:paraId="1E5881AA">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宋体" w:cs="Times New Roman"/>
                <w:b/>
                <w:bCs/>
                <w:color w:val="000000"/>
                <w:sz w:val="24"/>
                <w:szCs w:val="24"/>
              </w:rPr>
            </w:pPr>
            <w:r>
              <w:rPr>
                <w:rStyle w:val="33"/>
                <w:rFonts w:hint="default" w:ascii="Times New Roman" w:hAnsi="Times New Roman" w:cs="Times New Roman"/>
                <w:sz w:val="24"/>
                <w:szCs w:val="24"/>
                <w:lang w:bidi="ar"/>
              </w:rPr>
              <w:t>其他</w:t>
            </w:r>
          </w:p>
        </w:tc>
        <w:tc>
          <w:tcPr>
            <w:tcW w:w="4159" w:type="pct"/>
            <w:gridSpan w:val="4"/>
            <w:tcBorders>
              <w:top w:val="single" w:color="auto" w:sz="4" w:space="0"/>
              <w:left w:val="single" w:color="000000" w:sz="4" w:space="0"/>
              <w:bottom w:val="single" w:color="auto" w:sz="4" w:space="0"/>
              <w:right w:val="single" w:color="auto" w:sz="4" w:space="0"/>
            </w:tcBorders>
            <w:shd w:val="clear" w:color="auto" w:fill="auto"/>
            <w:vAlign w:val="center"/>
          </w:tcPr>
          <w:p w14:paraId="777C4F1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宋体" w:cs="Times New Roman"/>
                <w:color w:val="000000"/>
                <w:sz w:val="24"/>
                <w:szCs w:val="24"/>
                <w:lang w:val="en-US" w:eastAsia="zh-CN"/>
              </w:rPr>
            </w:pPr>
            <w:r>
              <w:rPr>
                <w:rFonts w:hint="eastAsia" w:cs="Times New Roman"/>
                <w:b/>
                <w:bCs/>
                <w:color w:val="000000"/>
                <w:sz w:val="24"/>
                <w:szCs w:val="24"/>
                <w:lang w:val="en-US" w:eastAsia="zh-CN"/>
              </w:rPr>
              <w:t>严禁</w:t>
            </w:r>
            <w:r>
              <w:rPr>
                <w:rFonts w:hint="eastAsia" w:cs="Times New Roman"/>
                <w:b w:val="0"/>
                <w:bCs w:val="0"/>
                <w:color w:val="000000"/>
                <w:sz w:val="24"/>
                <w:szCs w:val="24"/>
                <w:lang w:val="en-US" w:eastAsia="zh-CN"/>
              </w:rPr>
              <w:t>携带</w:t>
            </w:r>
            <w:r>
              <w:rPr>
                <w:rFonts w:hint="eastAsia" w:cs="Times New Roman"/>
                <w:b/>
                <w:bCs/>
                <w:color w:val="000000"/>
                <w:sz w:val="24"/>
                <w:szCs w:val="24"/>
                <w:lang w:val="en-US" w:eastAsia="zh-CN"/>
              </w:rPr>
              <w:t>手机</w:t>
            </w:r>
            <w:r>
              <w:rPr>
                <w:rFonts w:hint="eastAsia" w:cs="Times New Roman"/>
                <w:color w:val="000000"/>
                <w:sz w:val="24"/>
                <w:szCs w:val="24"/>
                <w:lang w:val="en-US" w:eastAsia="zh-CN"/>
              </w:rPr>
              <w:t>等通讯工具进入赛场</w:t>
            </w:r>
          </w:p>
        </w:tc>
      </w:tr>
    </w:tbl>
    <w:p w14:paraId="0ED71D10">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bookmarkStart w:id="5" w:name="_Toc30291"/>
      <w:r>
        <w:rPr>
          <w:rFonts w:hint="default" w:asciiTheme="minorEastAsia" w:hAnsiTheme="minorEastAsia" w:eastAsiaTheme="minorEastAsia" w:cstheme="minorEastAsia"/>
          <w:b/>
          <w:bCs/>
          <w:sz w:val="30"/>
          <w:szCs w:val="30"/>
          <w:highlight w:val="none"/>
        </w:rPr>
        <w:t>成绩公布</w:t>
      </w:r>
      <w:bookmarkEnd w:id="5"/>
    </w:p>
    <w:p w14:paraId="1B97C6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选拔赛</w:t>
      </w:r>
      <w:r>
        <w:rPr>
          <w:rFonts w:hint="eastAsia" w:eastAsia="仿宋" w:cs="Times New Roman"/>
          <w:color w:val="auto"/>
          <w:sz w:val="28"/>
          <w:szCs w:val="24"/>
          <w:highlight w:val="none"/>
          <w:lang w:val="en-US" w:eastAsia="zh-CN"/>
        </w:rPr>
        <w:t>将</w:t>
      </w:r>
      <w:r>
        <w:rPr>
          <w:rFonts w:hint="eastAsia" w:ascii="Times New Roman" w:hAnsi="Times New Roman" w:eastAsia="仿宋" w:cs="Times New Roman"/>
          <w:color w:val="auto"/>
          <w:sz w:val="28"/>
          <w:szCs w:val="24"/>
          <w:highlight w:val="none"/>
          <w:lang w:val="en-US" w:eastAsia="zh-CN"/>
        </w:rPr>
        <w:t>现场公布成绩。按照“去掉1个最高分和1个最低分，其余分数求和”规则，统计得出各参赛队伍得分。统分结果经裁判长复核无误后签字确认。裁判长在评分现场宣布评分结果，由参赛队当场确认。</w:t>
      </w:r>
    </w:p>
    <w:p w14:paraId="56D0D3D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rPr>
      </w:pPr>
      <w:r>
        <w:rPr>
          <w:rFonts w:hint="default" w:ascii="Times New Roman" w:hAnsi="Times New Roman" w:eastAsia="仿宋" w:cs="Times New Roman"/>
          <w:color w:val="auto"/>
          <w:sz w:val="28"/>
          <w:szCs w:val="24"/>
          <w:highlight w:val="none"/>
        </w:rPr>
        <w:t>比赛结束后由各比赛承办学校将签字的成绩单纸质版和电子版一并报送赛区执委会，赛区执委会审核后报请赛区组委会审定后公布，同时报送大赛执委会备案。</w:t>
      </w:r>
    </w:p>
    <w:p w14:paraId="7686741D">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default" w:asciiTheme="minorEastAsia" w:hAnsiTheme="minorEastAsia" w:eastAsiaTheme="minorEastAsia" w:cstheme="minorEastAsia"/>
          <w:b/>
          <w:bCs/>
          <w:sz w:val="30"/>
          <w:szCs w:val="30"/>
          <w:highlight w:val="none"/>
        </w:rPr>
      </w:pPr>
      <w:bookmarkStart w:id="6" w:name="_Toc19100"/>
      <w:r>
        <w:rPr>
          <w:rFonts w:hint="default" w:asciiTheme="minorEastAsia" w:hAnsiTheme="minorEastAsia" w:eastAsiaTheme="minorEastAsia" w:cstheme="minorEastAsia"/>
          <w:b/>
          <w:bCs/>
          <w:sz w:val="30"/>
          <w:szCs w:val="30"/>
          <w:highlight w:val="none"/>
        </w:rPr>
        <w:t>申诉与仲裁</w:t>
      </w:r>
      <w:bookmarkEnd w:id="6"/>
    </w:p>
    <w:p w14:paraId="7006C27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监督、仲裁组于选手比赛结束后</w:t>
      </w:r>
      <w:r>
        <w:rPr>
          <w:rFonts w:hint="eastAsia" w:ascii="Times New Roman" w:hAnsi="Times New Roman" w:eastAsia="仿宋" w:cs="Times New Roman"/>
          <w:color w:val="auto"/>
          <w:sz w:val="28"/>
          <w:szCs w:val="24"/>
          <w:highlight w:val="none"/>
          <w:lang w:val="en-US" w:eastAsia="zh-CN"/>
        </w:rPr>
        <w:t>1</w:t>
      </w:r>
      <w:r>
        <w:rPr>
          <w:rFonts w:hint="default" w:ascii="Times New Roman" w:hAnsi="Times New Roman" w:eastAsia="仿宋" w:cs="Times New Roman"/>
          <w:color w:val="auto"/>
          <w:sz w:val="28"/>
          <w:szCs w:val="24"/>
          <w:highlight w:val="none"/>
          <w:lang w:val="en-US" w:eastAsia="zh-CN"/>
        </w:rPr>
        <w:t>小时内，接受领队的书面申诉</w:t>
      </w:r>
      <w:r>
        <w:rPr>
          <w:rFonts w:hint="eastAsia" w:eastAsia="仿宋" w:cs="Times New Roman"/>
          <w:color w:val="auto"/>
          <w:sz w:val="28"/>
          <w:szCs w:val="24"/>
          <w:highlight w:val="none"/>
          <w:lang w:val="en-US" w:eastAsia="zh-CN"/>
        </w:rPr>
        <w:t>。</w:t>
      </w:r>
    </w:p>
    <w:p w14:paraId="6B90B3D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b w:val="0"/>
          <w:bCs w:val="0"/>
          <w:color w:val="auto"/>
          <w:sz w:val="28"/>
          <w:szCs w:val="24"/>
          <w:highlight w:val="none"/>
          <w:lang w:val="en-US" w:eastAsia="zh-CN"/>
        </w:rPr>
      </w:pPr>
      <w:r>
        <w:rPr>
          <w:rFonts w:hint="default" w:ascii="Times New Roman" w:hAnsi="Times New Roman" w:eastAsia="仿宋" w:cs="Times New Roman"/>
          <w:b w:val="0"/>
          <w:bCs w:val="0"/>
          <w:color w:val="auto"/>
          <w:sz w:val="28"/>
          <w:szCs w:val="24"/>
          <w:highlight w:val="none"/>
          <w:lang w:val="en-US" w:eastAsia="zh-CN"/>
        </w:rPr>
        <w:t>联系电话：</w:t>
      </w:r>
      <w:r>
        <w:rPr>
          <w:rFonts w:hint="eastAsia" w:eastAsia="仿宋" w:cs="Times New Roman"/>
          <w:b w:val="0"/>
          <w:bCs w:val="0"/>
          <w:color w:val="auto"/>
          <w:sz w:val="28"/>
          <w:szCs w:val="24"/>
          <w:highlight w:val="none"/>
          <w:lang w:val="en-US" w:eastAsia="zh-CN"/>
        </w:rPr>
        <w:t>0314-2375688</w:t>
      </w:r>
    </w:p>
    <w:p w14:paraId="3A0631A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1.各参赛队对不符合大赛和赛项规程规定的仪器、设备、工装、材料、物件、计算机软硬件、竞赛使用工具、用品，竞赛执裁、赛场管理，以及工作人员的不规范行为等持有异议时，由各参赛队领队向赛项监督仲裁工作组提出书面申诉。</w:t>
      </w:r>
    </w:p>
    <w:p w14:paraId="6CB20F3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2</w:t>
      </w:r>
      <w:r>
        <w:rPr>
          <w:rFonts w:hint="default" w:ascii="Times New Roman" w:hAnsi="Times New Roman" w:eastAsia="仿宋" w:cs="Times New Roman"/>
          <w:color w:val="auto"/>
          <w:sz w:val="28"/>
          <w:szCs w:val="24"/>
          <w:highlight w:val="none"/>
          <w:lang w:val="en-US" w:eastAsia="zh-CN"/>
        </w:rPr>
        <w:t>.赛项监督仲裁组只接受本队的书面申诉报告。</w:t>
      </w:r>
    </w:p>
    <w:p w14:paraId="767BB36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3</w:t>
      </w:r>
      <w:r>
        <w:rPr>
          <w:rFonts w:hint="default" w:ascii="Times New Roman" w:hAnsi="Times New Roman" w:eastAsia="仿宋" w:cs="Times New Roman"/>
          <w:color w:val="auto"/>
          <w:sz w:val="28"/>
          <w:szCs w:val="24"/>
          <w:highlight w:val="none"/>
          <w:lang w:val="en-US" w:eastAsia="zh-CN"/>
        </w:rPr>
        <w:t>.提出申诉的时间应在比赛结束后（选手赛场比赛内容完成）</w:t>
      </w:r>
      <w:r>
        <w:rPr>
          <w:rFonts w:hint="eastAsia" w:ascii="Times New Roman" w:hAnsi="Times New Roman" w:eastAsia="仿宋" w:cs="Times New Roman"/>
          <w:color w:val="auto"/>
          <w:sz w:val="28"/>
          <w:szCs w:val="24"/>
          <w:highlight w:val="none"/>
          <w:lang w:val="en-US" w:eastAsia="zh-CN"/>
        </w:rPr>
        <w:t>1</w:t>
      </w:r>
      <w:r>
        <w:rPr>
          <w:rFonts w:hint="default" w:ascii="Times New Roman" w:hAnsi="Times New Roman" w:eastAsia="仿宋" w:cs="Times New Roman"/>
          <w:color w:val="auto"/>
          <w:sz w:val="28"/>
          <w:szCs w:val="24"/>
          <w:highlight w:val="none"/>
          <w:lang w:val="en-US" w:eastAsia="zh-CN"/>
        </w:rPr>
        <w:t>小时内，超过时效不予受理。申诉报告应对申诉事件的现象、发生时间、涉及人员、申诉依据等进行充分、实事求是地叙述。</w:t>
      </w:r>
    </w:p>
    <w:p w14:paraId="3CE875E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4</w:t>
      </w:r>
      <w:r>
        <w:rPr>
          <w:rFonts w:hint="default" w:ascii="Times New Roman" w:hAnsi="Times New Roman" w:eastAsia="仿宋" w:cs="Times New Roman"/>
          <w:color w:val="auto"/>
          <w:sz w:val="28"/>
          <w:szCs w:val="24"/>
          <w:highlight w:val="none"/>
          <w:lang w:val="en-US" w:eastAsia="zh-CN"/>
        </w:rPr>
        <w:t>.赛项监督仲裁工作组在接到申诉报告后的</w:t>
      </w:r>
      <w:r>
        <w:rPr>
          <w:rFonts w:hint="eastAsia" w:ascii="Times New Roman" w:hAnsi="Times New Roman" w:eastAsia="仿宋" w:cs="Times New Roman"/>
          <w:color w:val="auto"/>
          <w:sz w:val="28"/>
          <w:szCs w:val="24"/>
          <w:highlight w:val="none"/>
          <w:lang w:val="en-US" w:eastAsia="zh-CN"/>
        </w:rPr>
        <w:t>1</w:t>
      </w:r>
      <w:r>
        <w:rPr>
          <w:rFonts w:hint="default" w:ascii="Times New Roman" w:hAnsi="Times New Roman" w:eastAsia="仿宋" w:cs="Times New Roman"/>
          <w:color w:val="auto"/>
          <w:sz w:val="28"/>
          <w:szCs w:val="24"/>
          <w:highlight w:val="none"/>
          <w:lang w:val="en-US" w:eastAsia="zh-CN"/>
        </w:rPr>
        <w:t>小时内组织复议，并及时将复议结果以书面形式告知申诉方。</w:t>
      </w:r>
    </w:p>
    <w:p w14:paraId="4EF84A2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5</w:t>
      </w:r>
      <w:r>
        <w:rPr>
          <w:rFonts w:hint="default" w:ascii="Times New Roman" w:hAnsi="Times New Roman" w:eastAsia="仿宋" w:cs="Times New Roman"/>
          <w:color w:val="auto"/>
          <w:sz w:val="28"/>
          <w:szCs w:val="24"/>
          <w:highlight w:val="none"/>
          <w:lang w:val="en-US" w:eastAsia="zh-CN"/>
        </w:rPr>
        <w:t>.申诉方可随时提出放弃申诉。</w:t>
      </w:r>
    </w:p>
    <w:p w14:paraId="7DE213C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6</w:t>
      </w:r>
      <w:r>
        <w:rPr>
          <w:rFonts w:hint="default" w:ascii="Times New Roman" w:hAnsi="Times New Roman" w:eastAsia="仿宋" w:cs="Times New Roman"/>
          <w:color w:val="auto"/>
          <w:sz w:val="28"/>
          <w:szCs w:val="24"/>
          <w:highlight w:val="none"/>
          <w:lang w:val="en-US" w:eastAsia="zh-CN"/>
        </w:rPr>
        <w:t>.申诉方必须提供真实的申诉信息并严格遵守申诉程序，提出无理申诉或采取过激行为扰乱赛场秩序的，应视情节给予取消参赛成绩等处罚。</w:t>
      </w:r>
    </w:p>
    <w:p w14:paraId="015D4D0A">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lang w:val="en-US" w:eastAsia="zh-CN"/>
        </w:rPr>
      </w:pPr>
      <w:r>
        <w:rPr>
          <w:rFonts w:hint="eastAsia" w:asciiTheme="minorEastAsia" w:hAnsiTheme="minorEastAsia" w:eastAsiaTheme="minorEastAsia" w:cstheme="minorEastAsia"/>
          <w:b/>
          <w:bCs/>
          <w:sz w:val="30"/>
          <w:szCs w:val="30"/>
          <w:highlight w:val="none"/>
          <w:lang w:val="en-US" w:eastAsia="zh-CN"/>
        </w:rPr>
        <w:t>竞赛须知</w:t>
      </w:r>
    </w:p>
    <w:p w14:paraId="57B5A71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（一）参赛队须知</w:t>
      </w:r>
    </w:p>
    <w:p w14:paraId="61857CE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1.各参赛院校应指定1名负责人任赛项领队，全权负责该校参赛事务的组织、协调和领导工作。</w:t>
      </w:r>
    </w:p>
    <w:p w14:paraId="1D1C8B1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2.参赛选手及指导教师在报名获得确认后，原则上不再更换。如在筹备过程中，参赛选手和指导教师因故不能参赛，须由其所在学校供职部门于赛项开赛前2个工作日之前出具书面说明，经赛项执委会办公室核实后予以更换。</w:t>
      </w:r>
    </w:p>
    <w:p w14:paraId="416A7B4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3.参赛队按照赛项竞赛规程安排，凭赛项执委会颁发的参赛证和有效身份证件参加比赛及相关活动。</w:t>
      </w:r>
    </w:p>
    <w:p w14:paraId="103245D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4.赛项执委会统一安排各参赛队在比赛前一天进入赛场熟悉环境和设施情况。</w:t>
      </w:r>
    </w:p>
    <w:p w14:paraId="4813665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5.参赛队选手、领队和指导教师要有良好的职业道德，严格遵守比赛规则和比赛纪律，服从裁判，尊重裁判和赛场工作人员，自觉维护赛场秩序。</w:t>
      </w:r>
    </w:p>
    <w:p w14:paraId="7DD7B88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6.领队应负责赛事活动期间本队所有选手的人身及财产安全，如发现意外事故，应及时向赛项执委会报告。</w:t>
      </w:r>
    </w:p>
    <w:p w14:paraId="21ED9A5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7.各学校组织代表队时，须为参赛选手购买竞赛期间的人身意外伤害保险。</w:t>
      </w:r>
    </w:p>
    <w:p w14:paraId="0A8258C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（二）领队和指导教师须知</w:t>
      </w:r>
    </w:p>
    <w:p w14:paraId="1637402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1.严格遵守赛场的各项规定，服从裁判，文明竞赛。如发现弄虚作假者，取消参赛资格，名次无效。</w:t>
      </w:r>
    </w:p>
    <w:p w14:paraId="4043B3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2.领队和指导教师务必带好有效身份证件，在活动过程中佩戴“指导教师证”参加竞赛相关活动。</w:t>
      </w:r>
    </w:p>
    <w:p w14:paraId="4837710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3.各代表队领队要坚决执行竞赛的各项规定，加强对参赛人员的管理，做好赛前准备工作，督促选手带好证件等竞赛相关材料。</w:t>
      </w:r>
    </w:p>
    <w:p w14:paraId="3AF815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4.在比赛期间要严格遵守比赛规则，不得私自接触裁判人员。</w:t>
      </w:r>
    </w:p>
    <w:p w14:paraId="6A6472A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5.竞赛过程中，未经裁判许可，领队、指导教师及其他人员一律不得进入竞赛现场。</w:t>
      </w:r>
    </w:p>
    <w:p w14:paraId="6FEDA66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6领队和指导老师应及时查看有关赛项的通知和内容，认真研究和掌握本赛项竞赛的规程、技术规范和赛场要求，指导选手做好赛前的一切技术准备和竞赛准备。</w:t>
      </w:r>
    </w:p>
    <w:p w14:paraId="139C63F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（三）参赛选手须知</w:t>
      </w:r>
    </w:p>
    <w:p w14:paraId="50F7E58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1.参赛选手应按有关要求如实填报个人信息，否则取消竞赛资格。</w:t>
      </w:r>
    </w:p>
    <w:p w14:paraId="338E6E9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2.参赛选手应持统一印制的参赛证、身份证、学生证。在赛场的表现，应体现自己良好的职业习惯和职业素养。</w:t>
      </w:r>
    </w:p>
    <w:p w14:paraId="3E40863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3.参赛选手应遵守比赛规则，尊重裁判和赛场工作人员，自觉遵守赛场秩序，服从裁判的管理。</w:t>
      </w:r>
    </w:p>
    <w:p w14:paraId="54DB65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4.参赛选手应按照规定时间抵达赛场，凭参赛证、身份证、学生证检录，按要求入场，不得迟到早退。</w:t>
      </w:r>
    </w:p>
    <w:p w14:paraId="378F578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5.参加选手仅允许携带比赛规定物品进入赛场。</w:t>
      </w:r>
    </w:p>
    <w:p w14:paraId="67341FA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6.参赛选手应在规定的时间段进入赛场，认真核对竞赛工位号，在指定位置开始准备演示。</w:t>
      </w:r>
    </w:p>
    <w:p w14:paraId="634910A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7.竞赛过程中需要去洗手间，应报告现场裁判，由裁判或赛场工作人员陪同离开赛场。</w:t>
      </w:r>
    </w:p>
    <w:p w14:paraId="4D357E2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8</w:t>
      </w:r>
      <w:r>
        <w:rPr>
          <w:rFonts w:hint="default" w:ascii="Times New Roman" w:hAnsi="Times New Roman" w:eastAsia="仿宋" w:cs="Times New Roman"/>
          <w:color w:val="auto"/>
          <w:sz w:val="28"/>
          <w:szCs w:val="24"/>
          <w:highlight w:val="none"/>
          <w:lang w:val="en-US" w:eastAsia="zh-CN"/>
        </w:rPr>
        <w:t>.参赛选手需详细阅读竞赛要求，不得在比赛过程中展示出任何关于参赛选手地名、校名、参赛编号等信息，否则取消竞赛成绩。</w:t>
      </w:r>
    </w:p>
    <w:p w14:paraId="3FA6F58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eastAsia" w:ascii="Times New Roman" w:hAnsi="Times New Roman" w:eastAsia="仿宋" w:cs="Times New Roman"/>
          <w:color w:val="auto"/>
          <w:sz w:val="28"/>
          <w:szCs w:val="24"/>
          <w:highlight w:val="none"/>
          <w:lang w:val="en-US" w:eastAsia="zh-CN"/>
        </w:rPr>
        <w:t>9</w:t>
      </w:r>
      <w:r>
        <w:rPr>
          <w:rFonts w:hint="default" w:ascii="Times New Roman" w:hAnsi="Times New Roman" w:eastAsia="仿宋" w:cs="Times New Roman"/>
          <w:color w:val="auto"/>
          <w:sz w:val="28"/>
          <w:szCs w:val="24"/>
          <w:highlight w:val="none"/>
          <w:lang w:val="en-US" w:eastAsia="zh-CN"/>
        </w:rPr>
        <w:t>.遇突发事件，立即报告裁判和赛场工作人员，按赛场裁判和工作人员的指令行动。</w:t>
      </w:r>
    </w:p>
    <w:p w14:paraId="4327626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1</w:t>
      </w:r>
      <w:r>
        <w:rPr>
          <w:rFonts w:hint="eastAsia" w:ascii="Times New Roman" w:hAnsi="Times New Roman" w:eastAsia="仿宋" w:cs="Times New Roman"/>
          <w:color w:val="auto"/>
          <w:sz w:val="28"/>
          <w:szCs w:val="24"/>
          <w:highlight w:val="none"/>
          <w:lang w:val="en-US" w:eastAsia="zh-CN"/>
        </w:rPr>
        <w:t>0</w:t>
      </w:r>
      <w:r>
        <w:rPr>
          <w:rFonts w:hint="default" w:ascii="Times New Roman" w:hAnsi="Times New Roman" w:eastAsia="仿宋" w:cs="Times New Roman"/>
          <w:color w:val="auto"/>
          <w:sz w:val="28"/>
          <w:szCs w:val="24"/>
          <w:highlight w:val="none"/>
          <w:lang w:val="en-US" w:eastAsia="zh-CN"/>
        </w:rPr>
        <w:t>.在竞赛期间，未经执委会批准，参赛选手不得接受其他单位和个人进行的与竞赛内容相关的采访。参赛选手不得将竞赛的相关信息私自公布。</w:t>
      </w:r>
    </w:p>
    <w:p w14:paraId="3BED314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1</w:t>
      </w:r>
      <w:r>
        <w:rPr>
          <w:rFonts w:hint="eastAsia" w:ascii="Times New Roman" w:hAnsi="Times New Roman" w:eastAsia="仿宋" w:cs="Times New Roman"/>
          <w:color w:val="auto"/>
          <w:sz w:val="28"/>
          <w:szCs w:val="24"/>
          <w:highlight w:val="none"/>
          <w:lang w:val="en-US" w:eastAsia="zh-CN"/>
        </w:rPr>
        <w:t>1</w:t>
      </w:r>
      <w:r>
        <w:rPr>
          <w:rFonts w:hint="default" w:ascii="Times New Roman" w:hAnsi="Times New Roman" w:eastAsia="仿宋" w:cs="Times New Roman"/>
          <w:color w:val="auto"/>
          <w:sz w:val="28"/>
          <w:szCs w:val="24"/>
          <w:highlight w:val="none"/>
          <w:lang w:val="en-US" w:eastAsia="zh-CN"/>
        </w:rPr>
        <w:t>.符合下列情形之一的参赛选手，经裁判组裁定后终止其竞赛：</w:t>
      </w:r>
    </w:p>
    <w:p w14:paraId="44476E9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（1）不服从裁判员管理、扰乱赛场秩序、干扰其他参赛选手比赛，裁判员应对其提出警告。二次警告后无效，或情节特别严重造成竞赛中止的，经裁判长确认，终止其比赛，并取消竞赛资格和竞赛成绩。</w:t>
      </w:r>
    </w:p>
    <w:p w14:paraId="7E3B862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（2）竞赛过程中，如选手人为造成主办方提供的计算机、仪器设备及工具等严重损坏，负责赔偿其损失，裁判长有权裁定其结束竞赛、取消竞赛成绩或取消竞赛资格。</w:t>
      </w:r>
    </w:p>
    <w:p w14:paraId="132AAD3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color w:val="auto"/>
          <w:sz w:val="28"/>
          <w:szCs w:val="24"/>
          <w:highlight w:val="none"/>
          <w:lang w:val="en-US" w:eastAsia="zh-CN"/>
        </w:rPr>
      </w:pPr>
      <w:r>
        <w:rPr>
          <w:rFonts w:hint="default" w:ascii="Times New Roman" w:hAnsi="Times New Roman" w:eastAsia="仿宋" w:cs="Times New Roman"/>
          <w:color w:val="auto"/>
          <w:sz w:val="28"/>
          <w:szCs w:val="24"/>
          <w:highlight w:val="none"/>
          <w:lang w:val="en-US" w:eastAsia="zh-CN"/>
        </w:rPr>
        <w:t>（3）竞赛过程中，造成重大安全事故，或产生重大安全事故隐患，经裁判员提示没有采取措施的，裁判员可暂停其竞赛，由裁判长裁定其结束竞赛、取消竞赛成绩或取消竞赛资格。</w:t>
      </w:r>
    </w:p>
    <w:p w14:paraId="10F2308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sz w:val="24"/>
          <w:szCs w:val="24"/>
          <w:highlight w:val="none"/>
          <w:lang w:val="en-US" w:eastAsia="zh-CN"/>
        </w:rPr>
      </w:pPr>
    </w:p>
    <w:sectPr>
      <w:footerReference r:id="rId3" w:type="default"/>
      <w:pgSz w:w="11906" w:h="16838"/>
      <w:pgMar w:top="2041" w:right="1417" w:bottom="1984" w:left="141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16678F55">
    <w:panose1 w:val="020B0604020202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22430"/>
    </w:sdtPr>
    <w:sdtContent>
      <w:p w14:paraId="09EA77A9">
        <w:pPr>
          <w:pStyle w:val="8"/>
          <w:jc w:val="center"/>
        </w:pPr>
        <w:r>
          <w:fldChar w:fldCharType="begin"/>
        </w:r>
        <w:r>
          <w:instrText xml:space="preserve">PAGE   \* MERGEFORMAT</w:instrText>
        </w:r>
        <w:r>
          <w:fldChar w:fldCharType="separate"/>
        </w:r>
        <w:r>
          <w:rPr>
            <w:lang w:val="zh-CN"/>
          </w:rPr>
          <w:t>-</w:t>
        </w:r>
        <w:r>
          <w:t xml:space="preserve"> 4 -</w:t>
        </w:r>
        <w:r>
          <w:fldChar w:fldCharType="end"/>
        </w:r>
      </w:p>
    </w:sdtContent>
  </w:sdt>
  <w:p w14:paraId="4ACB2BFE">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A80459"/>
    <w:multiLevelType w:val="singleLevel"/>
    <w:tmpl w:val="1CA8045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3YjliM2ZiYTg4ZmNlZmIxMzI3YjQwOTljYjFiYWEifQ=="/>
  </w:docVars>
  <w:rsids>
    <w:rsidRoot w:val="00BA732F"/>
    <w:rsid w:val="00027422"/>
    <w:rsid w:val="00030A81"/>
    <w:rsid w:val="000356C4"/>
    <w:rsid w:val="00044895"/>
    <w:rsid w:val="00044D18"/>
    <w:rsid w:val="00046287"/>
    <w:rsid w:val="000648D6"/>
    <w:rsid w:val="00081E99"/>
    <w:rsid w:val="00083F95"/>
    <w:rsid w:val="00093686"/>
    <w:rsid w:val="000A0781"/>
    <w:rsid w:val="000A63D3"/>
    <w:rsid w:val="000B63D4"/>
    <w:rsid w:val="000D6C84"/>
    <w:rsid w:val="000F3395"/>
    <w:rsid w:val="000F37F8"/>
    <w:rsid w:val="00100171"/>
    <w:rsid w:val="00126187"/>
    <w:rsid w:val="001312FC"/>
    <w:rsid w:val="001549DD"/>
    <w:rsid w:val="00176A43"/>
    <w:rsid w:val="00191C06"/>
    <w:rsid w:val="001931B6"/>
    <w:rsid w:val="001B7B3D"/>
    <w:rsid w:val="001C19D0"/>
    <w:rsid w:val="001D6EB3"/>
    <w:rsid w:val="001D7EA2"/>
    <w:rsid w:val="001E4BF0"/>
    <w:rsid w:val="00231337"/>
    <w:rsid w:val="0026078D"/>
    <w:rsid w:val="002628EA"/>
    <w:rsid w:val="00272409"/>
    <w:rsid w:val="00295F3B"/>
    <w:rsid w:val="002B0711"/>
    <w:rsid w:val="002B626E"/>
    <w:rsid w:val="002E0BC0"/>
    <w:rsid w:val="002E11EB"/>
    <w:rsid w:val="002E2C46"/>
    <w:rsid w:val="002E3AC7"/>
    <w:rsid w:val="002E5256"/>
    <w:rsid w:val="00303452"/>
    <w:rsid w:val="0030454E"/>
    <w:rsid w:val="00311E72"/>
    <w:rsid w:val="00314205"/>
    <w:rsid w:val="00320BFB"/>
    <w:rsid w:val="00361D06"/>
    <w:rsid w:val="00393BA7"/>
    <w:rsid w:val="003A2DCD"/>
    <w:rsid w:val="003C345A"/>
    <w:rsid w:val="003C4580"/>
    <w:rsid w:val="003D3DA5"/>
    <w:rsid w:val="003D57A4"/>
    <w:rsid w:val="003F47B9"/>
    <w:rsid w:val="003F6C3B"/>
    <w:rsid w:val="0040117A"/>
    <w:rsid w:val="00424FEB"/>
    <w:rsid w:val="00430549"/>
    <w:rsid w:val="00437B83"/>
    <w:rsid w:val="00444A73"/>
    <w:rsid w:val="00461503"/>
    <w:rsid w:val="00484502"/>
    <w:rsid w:val="0049724C"/>
    <w:rsid w:val="004B4EBC"/>
    <w:rsid w:val="004B5015"/>
    <w:rsid w:val="004D0846"/>
    <w:rsid w:val="004E447A"/>
    <w:rsid w:val="004F10EF"/>
    <w:rsid w:val="00546B1C"/>
    <w:rsid w:val="00562F25"/>
    <w:rsid w:val="005712C1"/>
    <w:rsid w:val="00575807"/>
    <w:rsid w:val="00577CE9"/>
    <w:rsid w:val="00580917"/>
    <w:rsid w:val="005A2A53"/>
    <w:rsid w:val="005A5CA6"/>
    <w:rsid w:val="00606867"/>
    <w:rsid w:val="00616629"/>
    <w:rsid w:val="00632392"/>
    <w:rsid w:val="00642686"/>
    <w:rsid w:val="006504C7"/>
    <w:rsid w:val="006667E5"/>
    <w:rsid w:val="006712DC"/>
    <w:rsid w:val="006735B5"/>
    <w:rsid w:val="006B0B99"/>
    <w:rsid w:val="006D609E"/>
    <w:rsid w:val="006E00C8"/>
    <w:rsid w:val="006F43DC"/>
    <w:rsid w:val="00702688"/>
    <w:rsid w:val="00714922"/>
    <w:rsid w:val="00715EB9"/>
    <w:rsid w:val="007305E1"/>
    <w:rsid w:val="00731202"/>
    <w:rsid w:val="00734102"/>
    <w:rsid w:val="007416AC"/>
    <w:rsid w:val="007F03F9"/>
    <w:rsid w:val="00825EA2"/>
    <w:rsid w:val="008275CE"/>
    <w:rsid w:val="0082777D"/>
    <w:rsid w:val="00832B45"/>
    <w:rsid w:val="008412E7"/>
    <w:rsid w:val="00864B68"/>
    <w:rsid w:val="00874D73"/>
    <w:rsid w:val="008836D3"/>
    <w:rsid w:val="00885E47"/>
    <w:rsid w:val="008919CE"/>
    <w:rsid w:val="008E4D5A"/>
    <w:rsid w:val="00902E18"/>
    <w:rsid w:val="00905C75"/>
    <w:rsid w:val="00907257"/>
    <w:rsid w:val="009141A6"/>
    <w:rsid w:val="00920900"/>
    <w:rsid w:val="00950D06"/>
    <w:rsid w:val="00966DDB"/>
    <w:rsid w:val="009737A6"/>
    <w:rsid w:val="009816CD"/>
    <w:rsid w:val="00991A92"/>
    <w:rsid w:val="009B5764"/>
    <w:rsid w:val="009C39CA"/>
    <w:rsid w:val="009E6D81"/>
    <w:rsid w:val="009F7E9E"/>
    <w:rsid w:val="00A30BF7"/>
    <w:rsid w:val="00A3798B"/>
    <w:rsid w:val="00A45752"/>
    <w:rsid w:val="00A46B29"/>
    <w:rsid w:val="00A76F47"/>
    <w:rsid w:val="00A828A2"/>
    <w:rsid w:val="00A858C9"/>
    <w:rsid w:val="00AA5EEB"/>
    <w:rsid w:val="00AC5BDF"/>
    <w:rsid w:val="00AD1274"/>
    <w:rsid w:val="00AD4D88"/>
    <w:rsid w:val="00AF1852"/>
    <w:rsid w:val="00B00C47"/>
    <w:rsid w:val="00B14755"/>
    <w:rsid w:val="00B20AC2"/>
    <w:rsid w:val="00B36C1A"/>
    <w:rsid w:val="00B46CD3"/>
    <w:rsid w:val="00B56816"/>
    <w:rsid w:val="00B70EB1"/>
    <w:rsid w:val="00B74BE5"/>
    <w:rsid w:val="00B97243"/>
    <w:rsid w:val="00BA6786"/>
    <w:rsid w:val="00BA68B1"/>
    <w:rsid w:val="00BA732F"/>
    <w:rsid w:val="00BB4A3D"/>
    <w:rsid w:val="00BE63FB"/>
    <w:rsid w:val="00C010B4"/>
    <w:rsid w:val="00C12857"/>
    <w:rsid w:val="00C13D37"/>
    <w:rsid w:val="00C664AC"/>
    <w:rsid w:val="00CB44C4"/>
    <w:rsid w:val="00CC6E70"/>
    <w:rsid w:val="00CF2FA7"/>
    <w:rsid w:val="00D25855"/>
    <w:rsid w:val="00D3656C"/>
    <w:rsid w:val="00D61DBE"/>
    <w:rsid w:val="00D710BF"/>
    <w:rsid w:val="00DB2859"/>
    <w:rsid w:val="00DD36B1"/>
    <w:rsid w:val="00DE5898"/>
    <w:rsid w:val="00E003F3"/>
    <w:rsid w:val="00E06587"/>
    <w:rsid w:val="00E07A51"/>
    <w:rsid w:val="00E2779E"/>
    <w:rsid w:val="00E84D36"/>
    <w:rsid w:val="00EC6BE2"/>
    <w:rsid w:val="00EC6F16"/>
    <w:rsid w:val="00ED00F3"/>
    <w:rsid w:val="00EF1A81"/>
    <w:rsid w:val="00F122CA"/>
    <w:rsid w:val="00F21ACB"/>
    <w:rsid w:val="00F251EA"/>
    <w:rsid w:val="00F25E40"/>
    <w:rsid w:val="00F532F8"/>
    <w:rsid w:val="00F553EF"/>
    <w:rsid w:val="00F60CC1"/>
    <w:rsid w:val="00FB0E35"/>
    <w:rsid w:val="00FB1254"/>
    <w:rsid w:val="00FE2972"/>
    <w:rsid w:val="00FF6AF5"/>
    <w:rsid w:val="0117255A"/>
    <w:rsid w:val="01237D69"/>
    <w:rsid w:val="018B0618"/>
    <w:rsid w:val="01F640A5"/>
    <w:rsid w:val="029D52AA"/>
    <w:rsid w:val="035A6E90"/>
    <w:rsid w:val="046A55D2"/>
    <w:rsid w:val="05743A98"/>
    <w:rsid w:val="0654226C"/>
    <w:rsid w:val="07846BE4"/>
    <w:rsid w:val="0817778D"/>
    <w:rsid w:val="08570A06"/>
    <w:rsid w:val="087C7C39"/>
    <w:rsid w:val="08E9380A"/>
    <w:rsid w:val="091B54AD"/>
    <w:rsid w:val="0A0A7605"/>
    <w:rsid w:val="0A5E799D"/>
    <w:rsid w:val="0C3F7709"/>
    <w:rsid w:val="0CD67C16"/>
    <w:rsid w:val="0CD749EA"/>
    <w:rsid w:val="0DA0379D"/>
    <w:rsid w:val="0E393E3D"/>
    <w:rsid w:val="0E951AF3"/>
    <w:rsid w:val="0F9A55D3"/>
    <w:rsid w:val="0FE91A0F"/>
    <w:rsid w:val="103A41A7"/>
    <w:rsid w:val="1065497F"/>
    <w:rsid w:val="10656FAA"/>
    <w:rsid w:val="10C75000"/>
    <w:rsid w:val="12C7447D"/>
    <w:rsid w:val="14941C7B"/>
    <w:rsid w:val="15BD03CA"/>
    <w:rsid w:val="162F1015"/>
    <w:rsid w:val="16433426"/>
    <w:rsid w:val="16923652"/>
    <w:rsid w:val="16C47126"/>
    <w:rsid w:val="187E1ED7"/>
    <w:rsid w:val="18A21C16"/>
    <w:rsid w:val="1984251C"/>
    <w:rsid w:val="1C7D7B19"/>
    <w:rsid w:val="1C8B734C"/>
    <w:rsid w:val="1D7F1092"/>
    <w:rsid w:val="1DDE5A21"/>
    <w:rsid w:val="1EFF4DAB"/>
    <w:rsid w:val="1F875A37"/>
    <w:rsid w:val="1FB01F8D"/>
    <w:rsid w:val="1FCF3724"/>
    <w:rsid w:val="207D08B0"/>
    <w:rsid w:val="226F262F"/>
    <w:rsid w:val="231814F1"/>
    <w:rsid w:val="24927D8B"/>
    <w:rsid w:val="24E76F88"/>
    <w:rsid w:val="26797F3F"/>
    <w:rsid w:val="26B35F31"/>
    <w:rsid w:val="26B410B2"/>
    <w:rsid w:val="284827A1"/>
    <w:rsid w:val="2895453F"/>
    <w:rsid w:val="295D54F0"/>
    <w:rsid w:val="2D4476D1"/>
    <w:rsid w:val="30AF316C"/>
    <w:rsid w:val="30ED1523"/>
    <w:rsid w:val="31074736"/>
    <w:rsid w:val="31242812"/>
    <w:rsid w:val="3152790A"/>
    <w:rsid w:val="318F58F7"/>
    <w:rsid w:val="321D2E06"/>
    <w:rsid w:val="332D6510"/>
    <w:rsid w:val="33622139"/>
    <w:rsid w:val="34807019"/>
    <w:rsid w:val="35550216"/>
    <w:rsid w:val="35646683"/>
    <w:rsid w:val="372667D7"/>
    <w:rsid w:val="37F7493E"/>
    <w:rsid w:val="385240E7"/>
    <w:rsid w:val="390508F4"/>
    <w:rsid w:val="3C753ED3"/>
    <w:rsid w:val="3C905CB6"/>
    <w:rsid w:val="3E0351B6"/>
    <w:rsid w:val="3E330175"/>
    <w:rsid w:val="3E630EF3"/>
    <w:rsid w:val="3E980FDE"/>
    <w:rsid w:val="3F2A1578"/>
    <w:rsid w:val="3F41404F"/>
    <w:rsid w:val="400A6F71"/>
    <w:rsid w:val="401F5053"/>
    <w:rsid w:val="413C6D29"/>
    <w:rsid w:val="416E3F78"/>
    <w:rsid w:val="417E45C9"/>
    <w:rsid w:val="41B8738A"/>
    <w:rsid w:val="44DF0477"/>
    <w:rsid w:val="4569218D"/>
    <w:rsid w:val="45A63316"/>
    <w:rsid w:val="46AF3052"/>
    <w:rsid w:val="46B84D0E"/>
    <w:rsid w:val="46D52AA7"/>
    <w:rsid w:val="48561630"/>
    <w:rsid w:val="48D57619"/>
    <w:rsid w:val="49104538"/>
    <w:rsid w:val="49D7552F"/>
    <w:rsid w:val="4A530F72"/>
    <w:rsid w:val="4AD05F97"/>
    <w:rsid w:val="4C2E4627"/>
    <w:rsid w:val="4C8D15D8"/>
    <w:rsid w:val="4E0A390F"/>
    <w:rsid w:val="4F240A14"/>
    <w:rsid w:val="4F847B70"/>
    <w:rsid w:val="509E6F85"/>
    <w:rsid w:val="52BB569C"/>
    <w:rsid w:val="52EB0010"/>
    <w:rsid w:val="53102B79"/>
    <w:rsid w:val="53163259"/>
    <w:rsid w:val="53223693"/>
    <w:rsid w:val="537D1A12"/>
    <w:rsid w:val="53965384"/>
    <w:rsid w:val="552B79A7"/>
    <w:rsid w:val="566152D9"/>
    <w:rsid w:val="57AB2F06"/>
    <w:rsid w:val="58C838B7"/>
    <w:rsid w:val="58F072E3"/>
    <w:rsid w:val="5A401B62"/>
    <w:rsid w:val="5AF733E9"/>
    <w:rsid w:val="5B4D451F"/>
    <w:rsid w:val="5C9E0397"/>
    <w:rsid w:val="5CCD6B61"/>
    <w:rsid w:val="5E2A6D1C"/>
    <w:rsid w:val="5EBE53E1"/>
    <w:rsid w:val="5F265434"/>
    <w:rsid w:val="5F772D91"/>
    <w:rsid w:val="5F921CDC"/>
    <w:rsid w:val="60084BEC"/>
    <w:rsid w:val="60BC2A96"/>
    <w:rsid w:val="619C5DDD"/>
    <w:rsid w:val="61C3608D"/>
    <w:rsid w:val="620C346D"/>
    <w:rsid w:val="621E6D4C"/>
    <w:rsid w:val="624E2765"/>
    <w:rsid w:val="62767935"/>
    <w:rsid w:val="65930CC8"/>
    <w:rsid w:val="68632FDD"/>
    <w:rsid w:val="6898390A"/>
    <w:rsid w:val="689E467A"/>
    <w:rsid w:val="68A8338A"/>
    <w:rsid w:val="69415DE1"/>
    <w:rsid w:val="69CF4947"/>
    <w:rsid w:val="6B716125"/>
    <w:rsid w:val="6C7C3140"/>
    <w:rsid w:val="6C89077E"/>
    <w:rsid w:val="6D6A3304"/>
    <w:rsid w:val="6D7D503E"/>
    <w:rsid w:val="6F467459"/>
    <w:rsid w:val="70B876D6"/>
    <w:rsid w:val="71202148"/>
    <w:rsid w:val="71493676"/>
    <w:rsid w:val="71630A0D"/>
    <w:rsid w:val="71885D02"/>
    <w:rsid w:val="72563E57"/>
    <w:rsid w:val="72580950"/>
    <w:rsid w:val="7302115D"/>
    <w:rsid w:val="73547DC1"/>
    <w:rsid w:val="73657A1D"/>
    <w:rsid w:val="76476407"/>
    <w:rsid w:val="77721AB3"/>
    <w:rsid w:val="78773F84"/>
    <w:rsid w:val="78CB5A16"/>
    <w:rsid w:val="79202B3C"/>
    <w:rsid w:val="7A3D6956"/>
    <w:rsid w:val="7BBB0C1C"/>
    <w:rsid w:val="7C2D4935"/>
    <w:rsid w:val="7D2162F5"/>
    <w:rsid w:val="7DCB6F61"/>
    <w:rsid w:val="7ECB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2" w:semiHidden="0"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18"/>
    <w:qFormat/>
    <w:uiPriority w:val="9"/>
    <w:pPr>
      <w:keepNext/>
      <w:keepLines/>
      <w:widowControl w:val="0"/>
      <w:spacing w:before="340" w:after="330" w:line="578" w:lineRule="auto"/>
      <w:jc w:val="both"/>
      <w:outlineLvl w:val="0"/>
    </w:pPr>
    <w:rPr>
      <w:rFonts w:ascii="Calibri" w:hAnsi="Calibri"/>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index 5"/>
    <w:basedOn w:val="1"/>
    <w:next w:val="1"/>
    <w:qFormat/>
    <w:uiPriority w:val="2"/>
    <w:pPr>
      <w:ind w:left="1680"/>
    </w:pPr>
    <w:rPr>
      <w:rFonts w:ascii="Calibri" w:hAnsi="Calibri" w:eastAsia="宋体" w:cs="Times New Roman"/>
    </w:rPr>
  </w:style>
  <w:style w:type="paragraph" w:styleId="6">
    <w:name w:val="index 6"/>
    <w:basedOn w:val="1"/>
    <w:next w:val="1"/>
    <w:qFormat/>
    <w:uiPriority w:val="0"/>
    <w:pPr>
      <w:ind w:firstLine="840"/>
    </w:pPr>
    <w:rPr>
      <w:rFonts w:ascii="Calibri" w:hAnsi="Calibri" w:eastAsia="宋体" w:cs="Arial"/>
    </w:rPr>
  </w:style>
  <w:style w:type="paragraph" w:styleId="7">
    <w:name w:val="Body Text"/>
    <w:basedOn w:val="1"/>
    <w:next w:val="8"/>
    <w:semiHidden/>
    <w:unhideWhenUsed/>
    <w:qFormat/>
    <w:uiPriority w:val="99"/>
    <w:pPr>
      <w:spacing w:after="120"/>
    </w:pPr>
  </w:style>
  <w:style w:type="paragraph" w:styleId="8">
    <w:name w:val="footer"/>
    <w:basedOn w:val="1"/>
    <w:next w:val="5"/>
    <w:link w:val="28"/>
    <w:unhideWhenUsed/>
    <w:qFormat/>
    <w:uiPriority w:val="99"/>
    <w:pPr>
      <w:tabs>
        <w:tab w:val="center" w:pos="4153"/>
        <w:tab w:val="right" w:pos="8306"/>
      </w:tabs>
      <w:snapToGrid w:val="0"/>
    </w:pPr>
    <w:rPr>
      <w:sz w:val="18"/>
      <w:szCs w:val="18"/>
    </w:rPr>
  </w:style>
  <w:style w:type="paragraph" w:styleId="9">
    <w:name w:val="Body Text Indent"/>
    <w:basedOn w:val="1"/>
    <w:unhideWhenUsed/>
    <w:qFormat/>
    <w:uiPriority w:val="99"/>
    <w:pPr>
      <w:spacing w:beforeLines="0" w:after="120" w:afterLines="0"/>
      <w:ind w:left="420" w:leftChars="200"/>
    </w:pPr>
    <w:rPr>
      <w:rFonts w:hint="eastAsia"/>
      <w:sz w:val="21"/>
      <w:szCs w:val="24"/>
    </w:rPr>
  </w:style>
  <w:style w:type="paragraph" w:styleId="10">
    <w:name w:val="Balloon Text"/>
    <w:basedOn w:val="1"/>
    <w:link w:val="29"/>
    <w:semiHidden/>
    <w:unhideWhenUsed/>
    <w:qFormat/>
    <w:uiPriority w:val="99"/>
    <w:rPr>
      <w:sz w:val="18"/>
      <w:szCs w:val="18"/>
    </w:rPr>
  </w:style>
  <w:style w:type="paragraph" w:styleId="11">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rPr>
      <w:sz w:val="24"/>
    </w:rPr>
  </w:style>
  <w:style w:type="paragraph" w:styleId="13">
    <w:name w:val="Body Text First Indent"/>
    <w:basedOn w:val="7"/>
    <w:next w:val="6"/>
    <w:unhideWhenUsed/>
    <w:qFormat/>
    <w:uiPriority w:val="0"/>
    <w:pPr>
      <w:ind w:firstLine="420" w:firstLineChars="100"/>
    </w:p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character" w:customStyle="1" w:styleId="18">
    <w:name w:val="标题 1 字符"/>
    <w:basedOn w:val="16"/>
    <w:link w:val="2"/>
    <w:qFormat/>
    <w:uiPriority w:val="9"/>
    <w:rPr>
      <w:rFonts w:ascii="Calibri" w:hAnsi="Calibri" w:eastAsia="宋体" w:cs="Times New Roman"/>
      <w:b/>
      <w:bCs/>
      <w:kern w:val="44"/>
      <w:sz w:val="44"/>
      <w:szCs w:val="44"/>
    </w:rPr>
  </w:style>
  <w:style w:type="character" w:customStyle="1" w:styleId="19">
    <w:name w:val="5-内文 Char"/>
    <w:link w:val="20"/>
    <w:qFormat/>
    <w:uiPriority w:val="99"/>
    <w:rPr>
      <w:rFonts w:eastAsia="仿宋_GB2312"/>
      <w:sz w:val="28"/>
      <w:szCs w:val="28"/>
    </w:rPr>
  </w:style>
  <w:style w:type="paragraph" w:customStyle="1" w:styleId="20">
    <w:name w:val="5-内文"/>
    <w:basedOn w:val="1"/>
    <w:link w:val="19"/>
    <w:qFormat/>
    <w:uiPriority w:val="99"/>
    <w:pPr>
      <w:widowControl w:val="0"/>
      <w:spacing w:beforeLines="25" w:afterLines="25" w:line="300" w:lineRule="auto"/>
      <w:ind w:firstLine="200" w:firstLineChars="200"/>
      <w:jc w:val="both"/>
    </w:pPr>
    <w:rPr>
      <w:rFonts w:eastAsia="仿宋_GB2312" w:asciiTheme="minorHAnsi" w:hAnsiTheme="minorHAnsi" w:cstheme="minorBidi"/>
      <w:kern w:val="2"/>
      <w:sz w:val="28"/>
      <w:szCs w:val="28"/>
    </w:rPr>
  </w:style>
  <w:style w:type="paragraph" w:customStyle="1" w:styleId="21">
    <w:name w:val="Normal_17"/>
    <w:qFormat/>
    <w:uiPriority w:val="0"/>
    <w:pPr>
      <w:spacing w:before="120" w:after="240"/>
      <w:jc w:val="both"/>
    </w:pPr>
    <w:rPr>
      <w:rFonts w:ascii="Calibri" w:hAnsi="Calibri" w:eastAsia="宋体" w:cs="Calibri"/>
      <w:sz w:val="22"/>
      <w:szCs w:val="22"/>
      <w:lang w:val="ru-RU" w:eastAsia="en-US" w:bidi="ar-SA"/>
    </w:rPr>
  </w:style>
  <w:style w:type="paragraph" w:styleId="22">
    <w:name w:val="List Paragraph"/>
    <w:basedOn w:val="1"/>
    <w:qFormat/>
    <w:uiPriority w:val="34"/>
    <w:pPr>
      <w:widowControl w:val="0"/>
      <w:ind w:firstLine="420" w:firstLineChars="200"/>
      <w:jc w:val="both"/>
    </w:pPr>
    <w:rPr>
      <w:kern w:val="2"/>
      <w:sz w:val="21"/>
    </w:rPr>
  </w:style>
  <w:style w:type="paragraph" w:customStyle="1" w:styleId="23">
    <w:name w:val="_Style 3"/>
    <w:basedOn w:val="1"/>
    <w:qFormat/>
    <w:uiPriority w:val="34"/>
    <w:pPr>
      <w:widowControl w:val="0"/>
      <w:ind w:firstLine="420"/>
      <w:jc w:val="both"/>
    </w:pPr>
    <w:rPr>
      <w:rFonts w:ascii="Calibri" w:hAnsi="Calibri"/>
      <w:kern w:val="2"/>
      <w:sz w:val="21"/>
    </w:rPr>
  </w:style>
  <w:style w:type="paragraph" w:customStyle="1" w:styleId="24">
    <w:name w:val="_Style 6"/>
    <w:basedOn w:val="1"/>
    <w:qFormat/>
    <w:uiPriority w:val="34"/>
    <w:pPr>
      <w:widowControl w:val="0"/>
      <w:ind w:firstLine="420" w:firstLineChars="200"/>
      <w:jc w:val="both"/>
    </w:pPr>
    <w:rPr>
      <w:kern w:val="2"/>
      <w:sz w:val="21"/>
    </w:rPr>
  </w:style>
  <w:style w:type="paragraph" w:customStyle="1" w:styleId="25">
    <w:name w:val="_Style 2"/>
    <w:basedOn w:val="1"/>
    <w:qFormat/>
    <w:uiPriority w:val="34"/>
    <w:pPr>
      <w:widowControl w:val="0"/>
      <w:ind w:firstLine="420" w:firstLineChars="200"/>
      <w:jc w:val="both"/>
    </w:pPr>
    <w:rPr>
      <w:rFonts w:ascii="Calibri" w:hAnsi="Calibri"/>
      <w:kern w:val="2"/>
      <w:sz w:val="21"/>
      <w:szCs w:val="22"/>
    </w:rPr>
  </w:style>
  <w:style w:type="paragraph" w:customStyle="1" w:styleId="26">
    <w:name w:val="列出段落1"/>
    <w:basedOn w:val="1"/>
    <w:qFormat/>
    <w:uiPriority w:val="99"/>
    <w:pPr>
      <w:widowControl w:val="0"/>
      <w:ind w:firstLine="420" w:firstLineChars="200"/>
      <w:jc w:val="both"/>
    </w:pPr>
    <w:rPr>
      <w:rFonts w:ascii="Calibri" w:hAnsi="Calibri" w:cs="Calibri"/>
      <w:kern w:val="2"/>
      <w:sz w:val="21"/>
      <w:szCs w:val="21"/>
    </w:rPr>
  </w:style>
  <w:style w:type="character" w:customStyle="1" w:styleId="27">
    <w:name w:val="页眉 字符"/>
    <w:basedOn w:val="16"/>
    <w:link w:val="11"/>
    <w:qFormat/>
    <w:uiPriority w:val="99"/>
    <w:rPr>
      <w:rFonts w:ascii="Times New Roman" w:hAnsi="Times New Roman" w:eastAsia="宋体" w:cs="Times New Roman"/>
      <w:kern w:val="0"/>
      <w:sz w:val="18"/>
      <w:szCs w:val="18"/>
    </w:rPr>
  </w:style>
  <w:style w:type="character" w:customStyle="1" w:styleId="28">
    <w:name w:val="页脚 字符"/>
    <w:basedOn w:val="16"/>
    <w:link w:val="8"/>
    <w:qFormat/>
    <w:uiPriority w:val="99"/>
    <w:rPr>
      <w:rFonts w:ascii="Times New Roman" w:hAnsi="Times New Roman" w:eastAsia="宋体" w:cs="Times New Roman"/>
      <w:kern w:val="0"/>
      <w:sz w:val="18"/>
      <w:szCs w:val="18"/>
    </w:rPr>
  </w:style>
  <w:style w:type="character" w:customStyle="1" w:styleId="29">
    <w:name w:val="批注框文本 字符"/>
    <w:basedOn w:val="16"/>
    <w:link w:val="10"/>
    <w:semiHidden/>
    <w:qFormat/>
    <w:uiPriority w:val="99"/>
    <w:rPr>
      <w:rFonts w:ascii="Times New Roman" w:hAnsi="Times New Roman" w:eastAsia="宋体" w:cs="Times New Roman"/>
      <w:sz w:val="18"/>
      <w:szCs w:val="18"/>
    </w:rPr>
  </w:style>
  <w:style w:type="paragraph" w:customStyle="1" w:styleId="30">
    <w:name w:val="正文首行缩进 21"/>
    <w:basedOn w:val="9"/>
    <w:unhideWhenUsed/>
    <w:qFormat/>
    <w:uiPriority w:val="0"/>
    <w:pPr>
      <w:spacing w:before="100" w:beforeLines="0" w:beforeAutospacing="1" w:after="0" w:afterLines="0"/>
      <w:ind w:firstLine="420" w:firstLineChars="200"/>
    </w:pPr>
    <w:rPr>
      <w:rFonts w:hint="eastAsia"/>
      <w:sz w:val="21"/>
      <w:szCs w:val="21"/>
    </w:rPr>
  </w:style>
  <w:style w:type="paragraph" w:customStyle="1" w:styleId="31">
    <w:name w:val="Table Text"/>
    <w:basedOn w:val="1"/>
    <w:semiHidden/>
    <w:qFormat/>
    <w:uiPriority w:val="0"/>
    <w:rPr>
      <w:rFonts w:ascii="仿宋" w:hAnsi="仿宋" w:eastAsia="仿宋" w:cs="仿宋"/>
      <w:sz w:val="24"/>
      <w:szCs w:val="24"/>
      <w:lang w:val="en-US" w:eastAsia="en-US" w:bidi="ar-SA"/>
    </w:rPr>
  </w:style>
  <w:style w:type="character" w:customStyle="1" w:styleId="32">
    <w:name w:val="font41"/>
    <w:basedOn w:val="16"/>
    <w:autoRedefine/>
    <w:qFormat/>
    <w:uiPriority w:val="0"/>
    <w:rPr>
      <w:rFonts w:hint="eastAsia" w:ascii="黑体" w:hAnsi="宋体" w:eastAsia="黑体" w:cs="黑体"/>
      <w:color w:val="000000"/>
      <w:sz w:val="18"/>
      <w:szCs w:val="18"/>
      <w:u w:val="none"/>
    </w:rPr>
  </w:style>
  <w:style w:type="character" w:customStyle="1" w:styleId="33">
    <w:name w:val="font61"/>
    <w:basedOn w:val="16"/>
    <w:autoRedefine/>
    <w:qFormat/>
    <w:uiPriority w:val="0"/>
    <w:rPr>
      <w:rFonts w:ascii="宋体" w:hAnsi="宋体" w:eastAsia="宋体" w:cs="宋体"/>
      <w:b/>
      <w:bCs/>
      <w:color w:val="000000"/>
      <w:sz w:val="40"/>
      <w:szCs w:val="40"/>
      <w:u w:val="none"/>
    </w:rPr>
  </w:style>
  <w:style w:type="character" w:customStyle="1" w:styleId="34">
    <w:name w:val="font81"/>
    <w:basedOn w:val="16"/>
    <w:qFormat/>
    <w:uiPriority w:val="0"/>
    <w:rPr>
      <w:rFonts w:ascii="宋体" w:hAnsi="宋体" w:eastAsia="宋体" w:cs="宋体"/>
      <w:color w:val="000000"/>
      <w:sz w:val="40"/>
      <w:szCs w:val="40"/>
      <w:u w:val="none"/>
    </w:rPr>
  </w:style>
  <w:style w:type="table" w:customStyle="1" w:styleId="35">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9A622-013A-4372-9C62-28170A36ABC0}">
  <ds:schemaRefs/>
</ds:datastoreItem>
</file>

<file path=docProps/app.xml><?xml version="1.0" encoding="utf-8"?>
<Properties xmlns="http://schemas.openxmlformats.org/officeDocument/2006/extended-properties" xmlns:vt="http://schemas.openxmlformats.org/officeDocument/2006/docPropsVTypes">
  <Template>Normal</Template>
  <Pages>7</Pages>
  <Words>2769</Words>
  <Characters>2887</Characters>
  <Lines>104</Lines>
  <Paragraphs>29</Paragraphs>
  <TotalTime>6</TotalTime>
  <ScaleCrop>false</ScaleCrop>
  <LinksUpToDate>false</LinksUpToDate>
  <CharactersWithSpaces>2890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2018-12-29T11:19:00Z</dcterms:created>
  <dc:creator>user</dc:creator>
  <cp:lastModifiedBy>骆磊</cp:lastModifiedBy>
  <dcterms:modified xsi:type="dcterms:W3CDTF">2026-08-23T09:24:15Z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F4A01E04371F48D7807A0BAAC109C4E8_13</vt:lpwstr>
  </property>
  <property fmtid="{D5CDD505-2E9C-101B-9397-08002B2CF9AE}" pid="4" name="KSOTemplateDocerSaveRecord">
    <vt:lpwstr>eyJoZGlkIjoiNjI1MGJmMTk2MWMzZDZhMDJjZGE1NmM2YjJmZjkyNTMiLCJ1c2VySWQiOiIzMjkzNjE2NjQifQ==</vt:lpwstr>
  </property>
</Properties>
</file>